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none" w:sz="6" w:space="0" w:color="000000"/>
          <w:left w:val="none" w:sz="6" w:space="0" w:color="000000"/>
          <w:bottom w:val="none" w:sz="6" w:space="0" w:color="000000"/>
          <w:right w:val="none" w:sz="6" w:space="0" w:color="000000"/>
          <w:insideH w:val="none" w:sz="6" w:space="0" w:color="000000"/>
          <w:insideV w:val="non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2"/>
      </w:tblGrid>
      <w:tr w:rsidR="0097166A"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66A" w:rsidRDefault="00A85C6C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Утв. приказом Минфина РФ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от 28 декабря 2010 г. № 191н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(в ред. от 16 ноября 2016 г.)</w:t>
            </w:r>
          </w:p>
        </w:tc>
      </w:tr>
    </w:tbl>
    <w:p w:rsidR="0097166A" w:rsidRDefault="00A85C6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vanish/>
          <w:sz w:val="24"/>
          <w:szCs w:val="24"/>
        </w:rPr>
        <w:t> </w:t>
      </w:r>
    </w:p>
    <w:tbl>
      <w:tblPr>
        <w:tblW w:w="10951" w:type="dxa"/>
        <w:tblInd w:w="93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0"/>
        <w:gridCol w:w="266"/>
        <w:gridCol w:w="2217"/>
        <w:gridCol w:w="2572"/>
      </w:tblGrid>
      <w:tr w:rsidR="0097166A">
        <w:trPr>
          <w:trHeight w:val="270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166A" w:rsidRDefault="00A85C6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ПОЯСНИТЕЛЬНАЯ ЗАПИСКА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166A" w:rsidRDefault="0097166A">
            <w:pPr>
              <w:rPr>
                <w:sz w:val="24"/>
              </w:rPr>
            </w:pP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166A" w:rsidRDefault="0097166A">
            <w:pPr>
              <w:rPr>
                <w:sz w:val="24"/>
              </w:rPr>
            </w:pPr>
          </w:p>
        </w:tc>
        <w:tc>
          <w:tcPr>
            <w:tcW w:w="25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166A" w:rsidRDefault="0097166A">
            <w:pPr>
              <w:rPr>
                <w:sz w:val="24"/>
              </w:rPr>
            </w:pPr>
          </w:p>
        </w:tc>
      </w:tr>
      <w:tr w:rsidR="0097166A">
        <w:trPr>
          <w:trHeight w:val="25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166A" w:rsidRDefault="0097166A">
            <w:pPr>
              <w:rPr>
                <w:sz w:val="24"/>
              </w:rPr>
            </w:pP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166A" w:rsidRDefault="0097166A">
            <w:pPr>
              <w:rPr>
                <w:sz w:val="24"/>
              </w:rPr>
            </w:pP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166A" w:rsidRDefault="0097166A">
            <w:pPr>
              <w:rPr>
                <w:sz w:val="24"/>
              </w:rPr>
            </w:pP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166A" w:rsidRDefault="00A85C6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97166A">
        <w:trPr>
          <w:trHeight w:val="28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166A" w:rsidRDefault="0097166A">
            <w:pPr>
              <w:rPr>
                <w:sz w:val="24"/>
              </w:rPr>
            </w:pPr>
          </w:p>
        </w:tc>
        <w:tc>
          <w:tcPr>
            <w:tcW w:w="2439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166A" w:rsidRDefault="00A85C6C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 по ОКУД</w:t>
            </w:r>
          </w:p>
        </w:tc>
        <w:tc>
          <w:tcPr>
            <w:tcW w:w="2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166A" w:rsidRDefault="00A85C6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0503160</w:t>
            </w:r>
          </w:p>
        </w:tc>
      </w:tr>
      <w:tr w:rsidR="0097166A">
        <w:trPr>
          <w:trHeight w:val="282"/>
        </w:trPr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166A" w:rsidRDefault="00A85C6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                     на   1 апреля 2024 г.</w:t>
            </w: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166A" w:rsidRDefault="00A85C6C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Дата</w:t>
            </w:r>
          </w:p>
        </w:tc>
        <w:tc>
          <w:tcPr>
            <w:tcW w:w="2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166A" w:rsidRDefault="00A85C6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01.04.2024</w:t>
            </w:r>
          </w:p>
        </w:tc>
      </w:tr>
      <w:tr w:rsidR="0097166A">
        <w:trPr>
          <w:trHeight w:val="300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166A" w:rsidRDefault="00A85C6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166A" w:rsidRDefault="00A85C6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166A" w:rsidRDefault="00A85C6C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Код субъекта </w:t>
            </w:r>
          </w:p>
          <w:p w:rsidR="0097166A" w:rsidRDefault="00A85C6C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бюджетной отчетности</w:t>
            </w:r>
          </w:p>
        </w:tc>
        <w:tc>
          <w:tcPr>
            <w:tcW w:w="2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166A" w:rsidRDefault="0097166A">
            <w:pPr>
              <w:rPr>
                <w:sz w:val="24"/>
              </w:rPr>
            </w:pPr>
          </w:p>
        </w:tc>
      </w:tr>
      <w:tr w:rsidR="0097166A">
        <w:trPr>
          <w:trHeight w:val="300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166A" w:rsidRDefault="00A85C6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распорядитель, распорядитель,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166A" w:rsidRDefault="0097166A">
            <w:pPr>
              <w:rPr>
                <w:sz w:val="24"/>
              </w:rPr>
            </w:pP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166A" w:rsidRDefault="0097166A">
            <w:pPr>
              <w:rPr>
                <w:sz w:val="24"/>
              </w:rPr>
            </w:pPr>
          </w:p>
        </w:tc>
        <w:tc>
          <w:tcPr>
            <w:tcW w:w="25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166A" w:rsidRDefault="0097166A">
            <w:pPr>
              <w:rPr>
                <w:sz w:val="24"/>
              </w:rPr>
            </w:pPr>
          </w:p>
        </w:tc>
      </w:tr>
      <w:tr w:rsidR="0097166A">
        <w:trPr>
          <w:trHeight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166A" w:rsidRDefault="00A85C6C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получатель бюджетных средств, главный администратор,   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166A" w:rsidRDefault="0097166A">
            <w:pPr>
              <w:rPr>
                <w:sz w:val="20"/>
              </w:rPr>
            </w:pP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166A" w:rsidRDefault="0097166A">
            <w:pPr>
              <w:rPr>
                <w:sz w:val="20"/>
              </w:rPr>
            </w:pPr>
          </w:p>
        </w:tc>
        <w:tc>
          <w:tcPr>
            <w:tcW w:w="25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166A" w:rsidRDefault="0097166A">
            <w:pPr>
              <w:rPr>
                <w:sz w:val="20"/>
              </w:rPr>
            </w:pPr>
          </w:p>
        </w:tc>
      </w:tr>
      <w:tr w:rsidR="0097166A">
        <w:trPr>
          <w:trHeight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166A" w:rsidRDefault="00A85C6C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администратор доходов бюджета,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166A" w:rsidRDefault="0097166A">
            <w:pPr>
              <w:rPr>
                <w:sz w:val="20"/>
              </w:rPr>
            </w:pP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166A" w:rsidRDefault="00A85C6C">
            <w:pPr>
              <w:spacing w:line="195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 ОКПО</w:t>
            </w:r>
          </w:p>
        </w:tc>
        <w:tc>
          <w:tcPr>
            <w:tcW w:w="25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166A" w:rsidRDefault="0097166A">
            <w:pPr>
              <w:rPr>
                <w:sz w:val="20"/>
              </w:rPr>
            </w:pPr>
          </w:p>
        </w:tc>
      </w:tr>
      <w:tr w:rsidR="0097166A">
        <w:trPr>
          <w:trHeight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166A" w:rsidRDefault="00A85C6C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главный администратор, администратор 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166A" w:rsidRDefault="0097166A">
            <w:pPr>
              <w:rPr>
                <w:sz w:val="20"/>
              </w:rPr>
            </w:pP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166A" w:rsidRDefault="0097166A">
            <w:pPr>
              <w:rPr>
                <w:sz w:val="20"/>
              </w:rPr>
            </w:pP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166A" w:rsidRDefault="0097166A">
            <w:pPr>
              <w:rPr>
                <w:sz w:val="20"/>
              </w:rPr>
            </w:pPr>
          </w:p>
        </w:tc>
      </w:tr>
      <w:tr w:rsidR="0097166A">
        <w:trPr>
          <w:trHeight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166A" w:rsidRDefault="00A85C6C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администратор источников финансирования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166A" w:rsidRDefault="0097166A">
            <w:pPr>
              <w:rPr>
                <w:sz w:val="20"/>
              </w:rPr>
            </w:pP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166A" w:rsidRDefault="0097166A">
            <w:pPr>
              <w:rPr>
                <w:sz w:val="20"/>
              </w:rPr>
            </w:pPr>
          </w:p>
        </w:tc>
        <w:tc>
          <w:tcPr>
            <w:tcW w:w="25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166A" w:rsidRDefault="0097166A">
            <w:pPr>
              <w:rPr>
                <w:sz w:val="20"/>
              </w:rPr>
            </w:pPr>
          </w:p>
        </w:tc>
      </w:tr>
      <w:tr w:rsidR="0097166A"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166A" w:rsidRDefault="00A85C6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дефицита бюджета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Севастьяновского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Приозерского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муниципального района Ленинградской области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    </w:t>
            </w:r>
          </w:p>
          <w:p w:rsidR="0097166A" w:rsidRDefault="00A85C6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166A" w:rsidRDefault="00A85C6C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по БК</w:t>
            </w:r>
          </w:p>
        </w:tc>
        <w:tc>
          <w:tcPr>
            <w:tcW w:w="2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166A" w:rsidRDefault="00A85C6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038</w:t>
            </w:r>
          </w:p>
        </w:tc>
      </w:tr>
      <w:tr w:rsidR="0097166A">
        <w:trPr>
          <w:trHeight w:val="280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166A" w:rsidRDefault="00A85C6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бюджета 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166A" w:rsidRDefault="0097166A">
            <w:pPr>
              <w:rPr>
                <w:sz w:val="24"/>
              </w:rPr>
            </w:pP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166A" w:rsidRDefault="0097166A">
            <w:pPr>
              <w:rPr>
                <w:sz w:val="24"/>
              </w:rPr>
            </w:pPr>
          </w:p>
        </w:tc>
        <w:tc>
          <w:tcPr>
            <w:tcW w:w="25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166A" w:rsidRDefault="0097166A">
            <w:pPr>
              <w:rPr>
                <w:sz w:val="24"/>
              </w:rPr>
            </w:pPr>
          </w:p>
        </w:tc>
      </w:tr>
      <w:tr w:rsidR="0097166A">
        <w:trPr>
          <w:trHeight w:val="210"/>
        </w:trPr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166A" w:rsidRDefault="00A85C6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(публично-правового образования)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Бюджет сельских поселений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97166A" w:rsidRDefault="00A85C6C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  </w:t>
            </w: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166A" w:rsidRDefault="00A85C6C">
            <w:pPr>
              <w:spacing w:line="21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 ОКТМО</w:t>
            </w:r>
          </w:p>
        </w:tc>
        <w:tc>
          <w:tcPr>
            <w:tcW w:w="25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166A" w:rsidRDefault="00A85C6C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41639404</w:t>
            </w:r>
          </w:p>
        </w:tc>
      </w:tr>
      <w:tr w:rsidR="0097166A">
        <w:trPr>
          <w:trHeight w:val="31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166A" w:rsidRDefault="00A85C6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Периодичность:    месячная, квартальная, годовая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166A" w:rsidRDefault="0097166A">
            <w:pPr>
              <w:rPr>
                <w:sz w:val="24"/>
              </w:rPr>
            </w:pP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166A" w:rsidRDefault="0097166A">
            <w:pPr>
              <w:rPr>
                <w:sz w:val="24"/>
              </w:rPr>
            </w:pP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166A" w:rsidRDefault="0097166A">
            <w:pPr>
              <w:rPr>
                <w:sz w:val="24"/>
              </w:rPr>
            </w:pPr>
          </w:p>
        </w:tc>
      </w:tr>
      <w:tr w:rsidR="0097166A">
        <w:trPr>
          <w:trHeight w:val="28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166A" w:rsidRDefault="00A85C6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измерения: руб.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166A" w:rsidRDefault="0097166A">
            <w:pPr>
              <w:rPr>
                <w:sz w:val="24"/>
              </w:rPr>
            </w:pP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166A" w:rsidRDefault="00A85C6C">
            <w:pPr>
              <w:spacing w:before="240" w:beforeAutospacing="1" w:after="240" w:afterAutospacing="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   по ОКЕИ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166A" w:rsidRDefault="00A85C6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383</w:t>
            </w:r>
          </w:p>
        </w:tc>
      </w:tr>
      <w:tr w:rsidR="0097166A">
        <w:trPr>
          <w:trHeight w:val="28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166A" w:rsidRDefault="0097166A">
            <w:pPr>
              <w:rPr>
                <w:sz w:val="24"/>
              </w:rPr>
            </w:pP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166A" w:rsidRDefault="0097166A">
            <w:pPr>
              <w:rPr>
                <w:sz w:val="24"/>
              </w:rPr>
            </w:pP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166A" w:rsidRDefault="0097166A">
            <w:pPr>
              <w:rPr>
                <w:sz w:val="24"/>
              </w:rPr>
            </w:pPr>
          </w:p>
        </w:tc>
        <w:tc>
          <w:tcPr>
            <w:tcW w:w="25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166A" w:rsidRDefault="0097166A">
            <w:pPr>
              <w:rPr>
                <w:sz w:val="24"/>
              </w:rPr>
            </w:pPr>
          </w:p>
        </w:tc>
      </w:tr>
      <w:tr w:rsidR="0097166A">
        <w:trPr>
          <w:trHeight w:val="282"/>
        </w:trPr>
        <w:tc>
          <w:tcPr>
            <w:tcW w:w="10951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166A" w:rsidRDefault="0097166A">
            <w:pPr>
              <w:rPr>
                <w:sz w:val="24"/>
              </w:rPr>
            </w:pPr>
          </w:p>
        </w:tc>
      </w:tr>
    </w:tbl>
    <w:p w:rsidR="0097166A" w:rsidRDefault="00A85C6C">
      <w:pPr>
        <w:jc w:val="center"/>
      </w:pPr>
      <w:r>
        <w:rPr>
          <w:rFonts w:ascii="Calibri" w:eastAsia="Calibri" w:hAnsi="Calibri" w:cs="Calibri"/>
          <w:b/>
          <w:color w:val="000000"/>
        </w:rPr>
        <w:t>ПОЯСНИТЕЛЬНАЯ ЗАПИСКА</w:t>
      </w:r>
    </w:p>
    <w:p w:rsidR="0097166A" w:rsidRDefault="00A85C6C">
      <w:pPr>
        <w:jc w:val="center"/>
      </w:pPr>
      <w:r>
        <w:rPr>
          <w:rFonts w:ascii="Calibri" w:eastAsia="Calibri" w:hAnsi="Calibri" w:cs="Calibri"/>
          <w:b/>
          <w:color w:val="000000"/>
        </w:rPr>
        <w:t xml:space="preserve">К отчету об исполнении бюджета </w:t>
      </w:r>
      <w:proofErr w:type="spellStart"/>
      <w:r>
        <w:rPr>
          <w:rFonts w:ascii="Calibri" w:eastAsia="Calibri" w:hAnsi="Calibri" w:cs="Calibri"/>
          <w:b/>
          <w:color w:val="000000"/>
        </w:rPr>
        <w:t>Севастьяновского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сельского поселения на 01.04.2024года</w:t>
      </w:r>
    </w:p>
    <w:p w:rsidR="0097166A" w:rsidRDefault="00A85C6C">
      <w:pPr>
        <w:jc w:val="center"/>
      </w:pPr>
      <w:r>
        <w:rPr>
          <w:rFonts w:ascii="Calibri" w:eastAsia="Calibri" w:hAnsi="Calibri" w:cs="Calibri"/>
          <w:b/>
          <w:color w:val="000000"/>
        </w:rPr>
        <w:t> </w:t>
      </w:r>
    </w:p>
    <w:p w:rsidR="0097166A" w:rsidRDefault="00A85C6C">
      <w:pPr>
        <w:jc w:val="center"/>
      </w:pPr>
      <w:r>
        <w:rPr>
          <w:rFonts w:ascii="Calibri" w:eastAsia="Calibri" w:hAnsi="Calibri" w:cs="Calibri"/>
          <w:b/>
          <w:i/>
          <w:color w:val="000000"/>
        </w:rPr>
        <w:t xml:space="preserve">Раздел 1. «Организационная структура </w:t>
      </w:r>
      <w:r>
        <w:rPr>
          <w:rFonts w:ascii="Calibri" w:eastAsia="Calibri" w:hAnsi="Calibri" w:cs="Calibri"/>
          <w:b/>
          <w:i/>
          <w:color w:val="000000"/>
        </w:rPr>
        <w:t>субъектов бюджетной отчетности»</w:t>
      </w:r>
    </w:p>
    <w:p w:rsidR="0097166A" w:rsidRDefault="00A85C6C">
      <w:pPr>
        <w:jc w:val="center"/>
      </w:pPr>
      <w:r>
        <w:rPr>
          <w:rFonts w:ascii="Calibri" w:eastAsia="Calibri" w:hAnsi="Calibri" w:cs="Calibri"/>
          <w:b/>
          <w:color w:val="000000"/>
        </w:rPr>
        <w:t> </w:t>
      </w:r>
    </w:p>
    <w:p w:rsidR="0097166A" w:rsidRDefault="00A85C6C">
      <w:pPr>
        <w:jc w:val="both"/>
      </w:pPr>
      <w:r>
        <w:rPr>
          <w:rFonts w:ascii="Calibri" w:eastAsia="Calibri" w:hAnsi="Calibri" w:cs="Calibri"/>
          <w:b/>
          <w:color w:val="000000"/>
        </w:rPr>
        <w:t>Полное наименование</w:t>
      </w:r>
      <w:r>
        <w:rPr>
          <w:rFonts w:ascii="Calibri" w:eastAsia="Calibri" w:hAnsi="Calibri" w:cs="Calibri"/>
          <w:color w:val="000000"/>
        </w:rPr>
        <w:t xml:space="preserve">: Администрация </w:t>
      </w:r>
      <w:proofErr w:type="spellStart"/>
      <w:r>
        <w:rPr>
          <w:rFonts w:ascii="Calibri" w:eastAsia="Calibri" w:hAnsi="Calibri" w:cs="Calibri"/>
          <w:color w:val="000000"/>
        </w:rPr>
        <w:t>Севастьяновского</w:t>
      </w:r>
      <w:proofErr w:type="spellEnd"/>
      <w:r>
        <w:rPr>
          <w:rFonts w:ascii="Calibri" w:eastAsia="Calibri" w:hAnsi="Calibri" w:cs="Calibri"/>
          <w:color w:val="000000"/>
        </w:rPr>
        <w:t xml:space="preserve"> сельского поселения </w:t>
      </w:r>
      <w:proofErr w:type="spellStart"/>
      <w:r>
        <w:rPr>
          <w:rFonts w:ascii="Calibri" w:eastAsia="Calibri" w:hAnsi="Calibri" w:cs="Calibri"/>
          <w:color w:val="000000"/>
        </w:rPr>
        <w:t>Приозерского</w:t>
      </w:r>
      <w:proofErr w:type="spellEnd"/>
      <w:r>
        <w:rPr>
          <w:rFonts w:ascii="Calibri" w:eastAsia="Calibri" w:hAnsi="Calibri" w:cs="Calibri"/>
          <w:color w:val="000000"/>
        </w:rPr>
        <w:t xml:space="preserve"> муниципального района Ленинградской области.</w:t>
      </w:r>
    </w:p>
    <w:p w:rsidR="0097166A" w:rsidRDefault="00A85C6C">
      <w:pPr>
        <w:jc w:val="both"/>
      </w:pPr>
      <w:r>
        <w:rPr>
          <w:rFonts w:ascii="Calibri" w:eastAsia="Calibri" w:hAnsi="Calibri" w:cs="Calibri"/>
          <w:b/>
          <w:color w:val="000000"/>
        </w:rPr>
        <w:t>Юридический адрес</w:t>
      </w:r>
      <w:r>
        <w:rPr>
          <w:rFonts w:ascii="Calibri" w:eastAsia="Calibri" w:hAnsi="Calibri" w:cs="Calibri"/>
          <w:color w:val="000000"/>
        </w:rPr>
        <w:t xml:space="preserve">: 188752 Ленинградская область, </w:t>
      </w:r>
      <w:proofErr w:type="spellStart"/>
      <w:r>
        <w:rPr>
          <w:rFonts w:ascii="Calibri" w:eastAsia="Calibri" w:hAnsi="Calibri" w:cs="Calibri"/>
          <w:color w:val="000000"/>
        </w:rPr>
        <w:t>Приозерский</w:t>
      </w:r>
      <w:proofErr w:type="spellEnd"/>
      <w:r>
        <w:rPr>
          <w:rFonts w:ascii="Calibri" w:eastAsia="Calibri" w:hAnsi="Calibri" w:cs="Calibri"/>
          <w:color w:val="000000"/>
        </w:rPr>
        <w:t xml:space="preserve"> район, пос. </w:t>
      </w:r>
      <w:proofErr w:type="spellStart"/>
      <w:r>
        <w:rPr>
          <w:rFonts w:ascii="Calibri" w:eastAsia="Calibri" w:hAnsi="Calibri" w:cs="Calibri"/>
          <w:color w:val="000000"/>
        </w:rPr>
        <w:t>Севастьяново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r>
        <w:rPr>
          <w:rFonts w:ascii="Calibri" w:eastAsia="Calibri" w:hAnsi="Calibri" w:cs="Calibri"/>
          <w:color w:val="000000"/>
        </w:rPr>
        <w:t>ул</w:t>
      </w:r>
      <w:proofErr w:type="gramStart"/>
      <w:r>
        <w:rPr>
          <w:rFonts w:ascii="Calibri" w:eastAsia="Calibri" w:hAnsi="Calibri" w:cs="Calibri"/>
          <w:color w:val="000000"/>
        </w:rPr>
        <w:t>.Н</w:t>
      </w:r>
      <w:proofErr w:type="gramEnd"/>
      <w:r>
        <w:rPr>
          <w:rFonts w:ascii="Calibri" w:eastAsia="Calibri" w:hAnsi="Calibri" w:cs="Calibri"/>
          <w:color w:val="000000"/>
        </w:rPr>
        <w:t>овая,д.4.</w:t>
      </w:r>
    </w:p>
    <w:p w:rsidR="0097166A" w:rsidRDefault="00A85C6C">
      <w:pPr>
        <w:jc w:val="both"/>
      </w:pPr>
      <w:r>
        <w:rPr>
          <w:rFonts w:ascii="Calibri" w:eastAsia="Calibri" w:hAnsi="Calibri" w:cs="Calibri"/>
          <w:b/>
          <w:color w:val="000000"/>
        </w:rPr>
        <w:t>Фактический адрес</w:t>
      </w:r>
      <w:r>
        <w:rPr>
          <w:rFonts w:ascii="Calibri" w:eastAsia="Calibri" w:hAnsi="Calibri" w:cs="Calibri"/>
          <w:color w:val="000000"/>
        </w:rPr>
        <w:t xml:space="preserve">: совпадает с </w:t>
      </w:r>
      <w:proofErr w:type="gramStart"/>
      <w:r>
        <w:rPr>
          <w:rFonts w:ascii="Calibri" w:eastAsia="Calibri" w:hAnsi="Calibri" w:cs="Calibri"/>
          <w:color w:val="000000"/>
        </w:rPr>
        <w:t>юридическим</w:t>
      </w:r>
      <w:proofErr w:type="gramEnd"/>
      <w:r>
        <w:rPr>
          <w:rFonts w:ascii="Calibri" w:eastAsia="Calibri" w:hAnsi="Calibri" w:cs="Calibri"/>
          <w:color w:val="000000"/>
        </w:rPr>
        <w:t>.</w:t>
      </w:r>
    </w:p>
    <w:p w:rsidR="0097166A" w:rsidRDefault="00A85C6C">
      <w:pPr>
        <w:jc w:val="both"/>
      </w:pPr>
      <w:r>
        <w:rPr>
          <w:rFonts w:ascii="Calibri" w:eastAsia="Calibri" w:hAnsi="Calibri" w:cs="Calibri"/>
          <w:b/>
          <w:color w:val="000000"/>
        </w:rPr>
        <w:t>Полномочия субъекта отчетности</w:t>
      </w:r>
      <w:r>
        <w:rPr>
          <w:rFonts w:ascii="Calibri" w:eastAsia="Calibri" w:hAnsi="Calibri" w:cs="Calibri"/>
          <w:color w:val="000000"/>
        </w:rPr>
        <w:t xml:space="preserve">: Главный распорядитель, распорядитель, получатель бюджетных средств. Субъектом отчетности является </w:t>
      </w:r>
      <w:proofErr w:type="spellStart"/>
      <w:r>
        <w:rPr>
          <w:rFonts w:ascii="Calibri" w:eastAsia="Calibri" w:hAnsi="Calibri" w:cs="Calibri"/>
          <w:color w:val="000000"/>
        </w:rPr>
        <w:t>Севастьяновское</w:t>
      </w:r>
      <w:proofErr w:type="spellEnd"/>
      <w:r>
        <w:rPr>
          <w:rFonts w:ascii="Calibri" w:eastAsia="Calibri" w:hAnsi="Calibri" w:cs="Calibri"/>
          <w:color w:val="000000"/>
        </w:rPr>
        <w:t xml:space="preserve"> сельское поселение, сводную отчетность за которое сд</w:t>
      </w:r>
      <w:r>
        <w:rPr>
          <w:rFonts w:ascii="Calibri" w:eastAsia="Calibri" w:hAnsi="Calibri" w:cs="Calibri"/>
          <w:color w:val="000000"/>
        </w:rPr>
        <w:t xml:space="preserve">ает Администрация </w:t>
      </w:r>
      <w:proofErr w:type="spellStart"/>
      <w:r>
        <w:rPr>
          <w:rFonts w:ascii="Calibri" w:eastAsia="Calibri" w:hAnsi="Calibri" w:cs="Calibri"/>
          <w:color w:val="000000"/>
        </w:rPr>
        <w:t>Севастьяновского</w:t>
      </w:r>
      <w:proofErr w:type="spellEnd"/>
      <w:r>
        <w:rPr>
          <w:rFonts w:ascii="Calibri" w:eastAsia="Calibri" w:hAnsi="Calibri" w:cs="Calibri"/>
          <w:color w:val="000000"/>
        </w:rPr>
        <w:t xml:space="preserve"> сельского поселения, учредителем которой является Совет депутатов МО </w:t>
      </w:r>
      <w:proofErr w:type="spellStart"/>
      <w:r>
        <w:rPr>
          <w:rFonts w:ascii="Calibri" w:eastAsia="Calibri" w:hAnsi="Calibri" w:cs="Calibri"/>
          <w:color w:val="000000"/>
        </w:rPr>
        <w:t>Севастьяновское</w:t>
      </w:r>
      <w:proofErr w:type="spellEnd"/>
      <w:r>
        <w:rPr>
          <w:rFonts w:ascii="Calibri" w:eastAsia="Calibri" w:hAnsi="Calibri" w:cs="Calibri"/>
          <w:color w:val="000000"/>
        </w:rPr>
        <w:t xml:space="preserve"> сельское поселение. Внешний </w:t>
      </w:r>
      <w:proofErr w:type="gramStart"/>
      <w:r>
        <w:rPr>
          <w:rFonts w:ascii="Calibri" w:eastAsia="Calibri" w:hAnsi="Calibri" w:cs="Calibri"/>
          <w:color w:val="000000"/>
        </w:rPr>
        <w:t>контроль за</w:t>
      </w:r>
      <w:proofErr w:type="gramEnd"/>
      <w:r>
        <w:rPr>
          <w:rFonts w:ascii="Calibri" w:eastAsia="Calibri" w:hAnsi="Calibri" w:cs="Calibri"/>
          <w:color w:val="000000"/>
        </w:rPr>
        <w:t xml:space="preserve"> исполнением бюджета </w:t>
      </w:r>
      <w:proofErr w:type="spellStart"/>
      <w:r>
        <w:rPr>
          <w:rFonts w:ascii="Calibri" w:eastAsia="Calibri" w:hAnsi="Calibri" w:cs="Calibri"/>
          <w:color w:val="000000"/>
        </w:rPr>
        <w:lastRenderedPageBreak/>
        <w:t>Севастьяновского</w:t>
      </w:r>
      <w:proofErr w:type="spellEnd"/>
      <w:r>
        <w:rPr>
          <w:rFonts w:ascii="Calibri" w:eastAsia="Calibri" w:hAnsi="Calibri" w:cs="Calibri"/>
          <w:color w:val="000000"/>
        </w:rPr>
        <w:t xml:space="preserve"> сельского поселения осуществляет Контрольно-Счетный Орган </w:t>
      </w:r>
      <w:proofErr w:type="spellStart"/>
      <w:r>
        <w:rPr>
          <w:rFonts w:ascii="Calibri" w:eastAsia="Calibri" w:hAnsi="Calibri" w:cs="Calibri"/>
          <w:color w:val="000000"/>
        </w:rPr>
        <w:t>П</w:t>
      </w:r>
      <w:r>
        <w:rPr>
          <w:rFonts w:ascii="Calibri" w:eastAsia="Calibri" w:hAnsi="Calibri" w:cs="Calibri"/>
          <w:color w:val="000000"/>
        </w:rPr>
        <w:t>риозерского</w:t>
      </w:r>
      <w:proofErr w:type="spellEnd"/>
      <w:r>
        <w:rPr>
          <w:rFonts w:ascii="Calibri" w:eastAsia="Calibri" w:hAnsi="Calibri" w:cs="Calibri"/>
          <w:color w:val="000000"/>
        </w:rPr>
        <w:t xml:space="preserve"> муниципального района, </w:t>
      </w:r>
      <w:proofErr w:type="gramStart"/>
      <w:r>
        <w:rPr>
          <w:rFonts w:ascii="Calibri" w:eastAsia="Calibri" w:hAnsi="Calibri" w:cs="Calibri"/>
          <w:color w:val="000000"/>
        </w:rPr>
        <w:t>полномочия</w:t>
      </w:r>
      <w:proofErr w:type="gramEnd"/>
      <w:r>
        <w:rPr>
          <w:rFonts w:ascii="Calibri" w:eastAsia="Calibri" w:hAnsi="Calibri" w:cs="Calibri"/>
          <w:color w:val="000000"/>
        </w:rPr>
        <w:t xml:space="preserve"> по осуществлению которого передаются соглашением о передаче полномочий. </w:t>
      </w:r>
    </w:p>
    <w:p w:rsidR="0097166A" w:rsidRDefault="00A85C6C">
      <w:pPr>
        <w:jc w:val="both"/>
      </w:pPr>
      <w:r>
        <w:rPr>
          <w:rFonts w:ascii="Calibri" w:eastAsia="Calibri" w:hAnsi="Calibri" w:cs="Calibri"/>
          <w:b/>
          <w:color w:val="000000"/>
        </w:rPr>
        <w:t xml:space="preserve">Глава администрации </w:t>
      </w:r>
      <w:r>
        <w:rPr>
          <w:rFonts w:ascii="Calibri" w:eastAsia="Calibri" w:hAnsi="Calibri" w:cs="Calibri"/>
          <w:color w:val="000000"/>
        </w:rPr>
        <w:t>Герасимчук Ольга Николаевна</w:t>
      </w:r>
    </w:p>
    <w:p w:rsidR="0097166A" w:rsidRDefault="00A85C6C">
      <w:pPr>
        <w:jc w:val="both"/>
      </w:pPr>
      <w:r>
        <w:rPr>
          <w:rFonts w:ascii="Calibri" w:eastAsia="Calibri" w:hAnsi="Calibri" w:cs="Calibri"/>
          <w:color w:val="000000"/>
        </w:rPr>
        <w:t>Главный бухгалтер Терентьева Елена Сергеевна</w:t>
      </w:r>
    </w:p>
    <w:p w:rsidR="0097166A" w:rsidRDefault="00A85C6C">
      <w:pPr>
        <w:jc w:val="both"/>
      </w:pPr>
      <w:r>
        <w:rPr>
          <w:rFonts w:ascii="Calibri" w:eastAsia="Calibri" w:hAnsi="Calibri" w:cs="Calibri"/>
          <w:color w:val="000000"/>
        </w:rPr>
        <w:t>Основным направлением деятельности администр</w:t>
      </w:r>
      <w:r>
        <w:rPr>
          <w:rFonts w:ascii="Calibri" w:eastAsia="Calibri" w:hAnsi="Calibri" w:cs="Calibri"/>
          <w:color w:val="000000"/>
        </w:rPr>
        <w:t xml:space="preserve">ации </w:t>
      </w:r>
      <w:proofErr w:type="spellStart"/>
      <w:r>
        <w:rPr>
          <w:rFonts w:ascii="Calibri" w:eastAsia="Calibri" w:hAnsi="Calibri" w:cs="Calibri"/>
          <w:color w:val="000000"/>
        </w:rPr>
        <w:t>Севастьяновского</w:t>
      </w:r>
      <w:proofErr w:type="spellEnd"/>
      <w:r>
        <w:rPr>
          <w:rFonts w:ascii="Calibri" w:eastAsia="Calibri" w:hAnsi="Calibri" w:cs="Calibri"/>
          <w:color w:val="000000"/>
        </w:rPr>
        <w:t xml:space="preserve"> сельского поселения является местное самоуправление. Администрация осуществляет свою деятельность на основании 133-ФЗ, Устава муниципального образования, утвержденного Решением Совета Депутатов № 181 от 07.04.2023г., Положением об Адм</w:t>
      </w:r>
      <w:r>
        <w:rPr>
          <w:rFonts w:ascii="Calibri" w:eastAsia="Calibri" w:hAnsi="Calibri" w:cs="Calibri"/>
          <w:color w:val="000000"/>
        </w:rPr>
        <w:t>инистрации, утвержденным решением Совета депутатов № 52 от 13.12.2011г</w:t>
      </w:r>
      <w:proofErr w:type="gramStart"/>
      <w:r>
        <w:rPr>
          <w:rFonts w:ascii="Calibri" w:eastAsia="Calibri" w:hAnsi="Calibri" w:cs="Calibri"/>
          <w:color w:val="000000"/>
        </w:rPr>
        <w:t>.(</w:t>
      </w:r>
      <w:proofErr w:type="gramEnd"/>
      <w:r>
        <w:rPr>
          <w:rFonts w:ascii="Calibri" w:eastAsia="Calibri" w:hAnsi="Calibri" w:cs="Calibri"/>
          <w:color w:val="000000"/>
        </w:rPr>
        <w:t xml:space="preserve">табл.1). Подведомственное учреждение одно - МУК </w:t>
      </w:r>
      <w:proofErr w:type="spellStart"/>
      <w:r>
        <w:rPr>
          <w:rFonts w:ascii="Calibri" w:eastAsia="Calibri" w:hAnsi="Calibri" w:cs="Calibri"/>
          <w:color w:val="000000"/>
        </w:rPr>
        <w:t>Севастьяновское</w:t>
      </w:r>
      <w:proofErr w:type="spellEnd"/>
      <w:r>
        <w:rPr>
          <w:rFonts w:ascii="Calibri" w:eastAsia="Calibri" w:hAnsi="Calibri" w:cs="Calibri"/>
          <w:color w:val="000000"/>
        </w:rPr>
        <w:t xml:space="preserve"> клубное объединение, которое занимается </w:t>
      </w:r>
      <w:proofErr w:type="gramStart"/>
      <w:r>
        <w:rPr>
          <w:rFonts w:ascii="Calibri" w:eastAsia="Calibri" w:hAnsi="Calibri" w:cs="Calibri"/>
          <w:color w:val="000000"/>
        </w:rPr>
        <w:t>культ-массовой</w:t>
      </w:r>
      <w:proofErr w:type="gramEnd"/>
      <w:r>
        <w:rPr>
          <w:rFonts w:ascii="Calibri" w:eastAsia="Calibri" w:hAnsi="Calibri" w:cs="Calibri"/>
          <w:color w:val="000000"/>
        </w:rPr>
        <w:t xml:space="preserve"> деятельностью, организацией досуга и отдыха для населения. Учрежд</w:t>
      </w:r>
      <w:r>
        <w:rPr>
          <w:rFonts w:ascii="Calibri" w:eastAsia="Calibri" w:hAnsi="Calibri" w:cs="Calibri"/>
          <w:color w:val="000000"/>
        </w:rPr>
        <w:t xml:space="preserve">ение ведет свою деятельность на основании Устава, утвержденного Решением Совета депутатов № 53 от 13.123.2011г. Оба учреждения переведены в казенные учреждения.  Главным администратором доходов и источников финансирования является </w:t>
      </w:r>
      <w:proofErr w:type="spellStart"/>
      <w:r>
        <w:rPr>
          <w:rFonts w:ascii="Calibri" w:eastAsia="Calibri" w:hAnsi="Calibri" w:cs="Calibri"/>
          <w:color w:val="000000"/>
        </w:rPr>
        <w:t>Севастьяновское</w:t>
      </w:r>
      <w:proofErr w:type="spellEnd"/>
      <w:r>
        <w:rPr>
          <w:rFonts w:ascii="Calibri" w:eastAsia="Calibri" w:hAnsi="Calibri" w:cs="Calibri"/>
          <w:color w:val="000000"/>
        </w:rPr>
        <w:t xml:space="preserve"> сельское </w:t>
      </w:r>
      <w:r>
        <w:rPr>
          <w:rFonts w:ascii="Calibri" w:eastAsia="Calibri" w:hAnsi="Calibri" w:cs="Calibri"/>
          <w:color w:val="000000"/>
        </w:rPr>
        <w:t>поселение.</w:t>
      </w:r>
    </w:p>
    <w:p w:rsidR="0097166A" w:rsidRDefault="00A85C6C">
      <w:pPr>
        <w:jc w:val="both"/>
      </w:pPr>
      <w:r>
        <w:rPr>
          <w:rFonts w:ascii="Calibri" w:eastAsia="Calibri" w:hAnsi="Calibri" w:cs="Calibri"/>
          <w:color w:val="000000"/>
        </w:rPr>
        <w:t> </w:t>
      </w:r>
    </w:p>
    <w:p w:rsidR="0097166A" w:rsidRDefault="00A85C6C">
      <w:pPr>
        <w:jc w:val="center"/>
      </w:pPr>
      <w:r>
        <w:rPr>
          <w:rFonts w:ascii="Calibri" w:eastAsia="Calibri" w:hAnsi="Calibri" w:cs="Calibri"/>
          <w:b/>
          <w:i/>
          <w:color w:val="000000"/>
        </w:rPr>
        <w:t>Раздел 2 «Результаты деятельности субъекта бюджетной отчетности</w:t>
      </w:r>
    </w:p>
    <w:p w:rsidR="0097166A" w:rsidRDefault="00A85C6C">
      <w:pPr>
        <w:jc w:val="center"/>
      </w:pPr>
      <w:r>
        <w:rPr>
          <w:rFonts w:ascii="Calibri" w:eastAsia="Calibri" w:hAnsi="Calibri" w:cs="Calibri"/>
          <w:b/>
          <w:i/>
          <w:color w:val="000000"/>
        </w:rPr>
        <w:t> </w:t>
      </w:r>
    </w:p>
    <w:p w:rsidR="0097166A" w:rsidRDefault="00A85C6C">
      <w:pPr>
        <w:jc w:val="both"/>
      </w:pPr>
      <w:r>
        <w:rPr>
          <w:rFonts w:ascii="Calibri" w:eastAsia="Calibri" w:hAnsi="Calibri" w:cs="Calibri"/>
          <w:color w:val="000000"/>
        </w:rPr>
        <w:t>     В поселении принята программа повышения эффективности расходования бюджетных средств, в результате которой наблюдается экономия бюджетных средств посредством установки тепл</w:t>
      </w:r>
      <w:r>
        <w:rPr>
          <w:rFonts w:ascii="Calibri" w:eastAsia="Calibri" w:hAnsi="Calibri" w:cs="Calibri"/>
          <w:color w:val="000000"/>
        </w:rPr>
        <w:t xml:space="preserve">ового счетчика на административном здании, установлены энергосберегающие лампы, счетчики для учета потребленной электроэнергии в здании и для уличного освещения, на системе уличного освещения установлено </w:t>
      </w:r>
      <w:proofErr w:type="spellStart"/>
      <w:r>
        <w:rPr>
          <w:rFonts w:ascii="Calibri" w:eastAsia="Calibri" w:hAnsi="Calibri" w:cs="Calibri"/>
          <w:color w:val="000000"/>
        </w:rPr>
        <w:t>фоторэле</w:t>
      </w:r>
      <w:proofErr w:type="spellEnd"/>
      <w:r>
        <w:rPr>
          <w:rFonts w:ascii="Calibri" w:eastAsia="Calibri" w:hAnsi="Calibri" w:cs="Calibri"/>
          <w:color w:val="000000"/>
        </w:rPr>
        <w:t xml:space="preserve">. </w:t>
      </w:r>
    </w:p>
    <w:p w:rsidR="0097166A" w:rsidRDefault="00A85C6C">
      <w:pPr>
        <w:jc w:val="both"/>
      </w:pPr>
      <w:r>
        <w:rPr>
          <w:rFonts w:ascii="Calibri" w:eastAsia="Calibri" w:hAnsi="Calibri" w:cs="Calibri"/>
          <w:color w:val="000000"/>
        </w:rPr>
        <w:t xml:space="preserve">При численности работников администрации </w:t>
      </w:r>
      <w:r>
        <w:rPr>
          <w:rFonts w:ascii="Calibri" w:eastAsia="Calibri" w:hAnsi="Calibri" w:cs="Calibri"/>
          <w:color w:val="000000"/>
        </w:rPr>
        <w:t xml:space="preserve">6 человек имеется 6 оборудованных компьютерами и копировальной техникой рабочих мест, то есть все рабочие места технически оснащены, то же можно сказать о рабочих местах МУК </w:t>
      </w:r>
      <w:proofErr w:type="spellStart"/>
      <w:r>
        <w:rPr>
          <w:rFonts w:ascii="Calibri" w:eastAsia="Calibri" w:hAnsi="Calibri" w:cs="Calibri"/>
          <w:color w:val="000000"/>
        </w:rPr>
        <w:t>Севастьяновское</w:t>
      </w:r>
      <w:proofErr w:type="spellEnd"/>
      <w:r>
        <w:rPr>
          <w:rFonts w:ascii="Calibri" w:eastAsia="Calibri" w:hAnsi="Calibri" w:cs="Calibri"/>
          <w:color w:val="000000"/>
        </w:rPr>
        <w:t xml:space="preserve"> клубное объединение.</w:t>
      </w:r>
    </w:p>
    <w:p w:rsidR="0097166A" w:rsidRDefault="00A85C6C">
      <w:pPr>
        <w:jc w:val="both"/>
      </w:pPr>
      <w:r>
        <w:rPr>
          <w:rFonts w:ascii="Calibri" w:eastAsia="Calibri" w:hAnsi="Calibri" w:cs="Calibri"/>
          <w:color w:val="000000"/>
        </w:rPr>
        <w:t>Расходных материалов в 1 квартале 2024г. прио</w:t>
      </w:r>
      <w:r>
        <w:rPr>
          <w:rFonts w:ascii="Calibri" w:eastAsia="Calibri" w:hAnsi="Calibri" w:cs="Calibri"/>
          <w:color w:val="000000"/>
        </w:rPr>
        <w:t xml:space="preserve">бретено на сумму 85 769,52 рублей по администрации (канцелярские и хозяйственные товары), </w:t>
      </w:r>
      <w:proofErr w:type="gramStart"/>
      <w:r>
        <w:rPr>
          <w:rFonts w:ascii="Calibri" w:eastAsia="Calibri" w:hAnsi="Calibri" w:cs="Calibri"/>
          <w:color w:val="000000"/>
        </w:rPr>
        <w:t>по</w:t>
      </w:r>
      <w:proofErr w:type="gramEnd"/>
      <w:r>
        <w:rPr>
          <w:rFonts w:ascii="Calibri" w:eastAsia="Calibri" w:hAnsi="Calibri" w:cs="Calibri"/>
          <w:color w:val="000000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</w:rPr>
        <w:t>МУК</w:t>
      </w:r>
      <w:proofErr w:type="gramEnd"/>
      <w:r>
        <w:rPr>
          <w:rFonts w:ascii="Calibri" w:eastAsia="Calibri" w:hAnsi="Calibri" w:cs="Calibri"/>
          <w:color w:val="000000"/>
        </w:rPr>
        <w:t xml:space="preserve"> расходные материалы не приобретались, 5 000,00 рублей стоимость наградной продукции. Приобретено бензина на сумму 73 088,00 рублей. </w:t>
      </w:r>
    </w:p>
    <w:p w:rsidR="0097166A" w:rsidRDefault="00A85C6C">
      <w:pPr>
        <w:jc w:val="both"/>
      </w:pPr>
      <w:r>
        <w:rPr>
          <w:rFonts w:ascii="Calibri" w:eastAsia="Calibri" w:hAnsi="Calibri" w:cs="Calibri"/>
          <w:color w:val="000000"/>
        </w:rPr>
        <w:t> </w:t>
      </w:r>
    </w:p>
    <w:p w:rsidR="0097166A" w:rsidRDefault="00A85C6C">
      <w:pPr>
        <w:jc w:val="center"/>
      </w:pPr>
      <w:r>
        <w:rPr>
          <w:rFonts w:ascii="Calibri" w:eastAsia="Calibri" w:hAnsi="Calibri" w:cs="Calibri"/>
          <w:b/>
          <w:i/>
          <w:color w:val="000000"/>
        </w:rPr>
        <w:t xml:space="preserve">Раздел 3 "Анализ отчета </w:t>
      </w:r>
      <w:r>
        <w:rPr>
          <w:rFonts w:ascii="Calibri" w:eastAsia="Calibri" w:hAnsi="Calibri" w:cs="Calibri"/>
          <w:b/>
          <w:i/>
          <w:color w:val="000000"/>
        </w:rPr>
        <w:t>об исполнении бюджета субъектами бюджетной отчетности"</w:t>
      </w:r>
    </w:p>
    <w:p w:rsidR="0097166A" w:rsidRDefault="00A85C6C">
      <w:pPr>
        <w:jc w:val="both"/>
      </w:pPr>
      <w:r>
        <w:rPr>
          <w:rFonts w:ascii="Calibri" w:eastAsia="Calibri" w:hAnsi="Calibri" w:cs="Calibri"/>
          <w:color w:val="000000"/>
        </w:rPr>
        <w:t xml:space="preserve">      На 2024 год </w:t>
      </w:r>
      <w:proofErr w:type="gramStart"/>
      <w:r>
        <w:rPr>
          <w:rFonts w:ascii="Calibri" w:eastAsia="Calibri" w:hAnsi="Calibri" w:cs="Calibri"/>
          <w:color w:val="000000"/>
        </w:rPr>
        <w:t>утверждено доходов 26 585 900,00 рублей исполнено</w:t>
      </w:r>
      <w:proofErr w:type="gramEnd"/>
      <w:r>
        <w:rPr>
          <w:rFonts w:ascii="Calibri" w:eastAsia="Calibri" w:hAnsi="Calibri" w:cs="Calibri"/>
          <w:color w:val="000000"/>
        </w:rPr>
        <w:t xml:space="preserve"> за 1 квартал 2024 года 4 845 730,00 рублей, выполнение составило 18,2%. Исполнение бюджета по расходам составило 15,1% (план 27 085 9</w:t>
      </w:r>
      <w:r>
        <w:rPr>
          <w:rFonts w:ascii="Calibri" w:eastAsia="Calibri" w:hAnsi="Calibri" w:cs="Calibri"/>
          <w:color w:val="000000"/>
        </w:rPr>
        <w:t>00,00 рублей, исполнено 4 099 000,00 рублей).   Большинство мероприятий запланировано на 3-4 квартал 2024г. Средства по разделу 0111 не расходовались, так как не возникло необходимости, средства по разделу 0309 не расходовались, так как не возникла необход</w:t>
      </w:r>
      <w:r>
        <w:rPr>
          <w:rFonts w:ascii="Calibri" w:eastAsia="Calibri" w:hAnsi="Calibri" w:cs="Calibri"/>
          <w:color w:val="000000"/>
        </w:rPr>
        <w:t xml:space="preserve">имость; по разделу 0310 исполнение 11,8% в связи с планированием большей части расходов в 3-4 квартале. </w:t>
      </w:r>
      <w:proofErr w:type="gramStart"/>
      <w:r>
        <w:rPr>
          <w:rFonts w:ascii="Calibri" w:eastAsia="Calibri" w:hAnsi="Calibri" w:cs="Calibri"/>
          <w:color w:val="000000"/>
        </w:rPr>
        <w:t>По разделу 0409  исполнение 20,4% в связи с тем, что исполнение по контрактам по ремонту дорог до 31 декабря 2024г.; по разделу 0412 средства не расходо</w:t>
      </w:r>
      <w:r>
        <w:rPr>
          <w:rFonts w:ascii="Calibri" w:eastAsia="Calibri" w:hAnsi="Calibri" w:cs="Calibri"/>
          <w:color w:val="000000"/>
        </w:rPr>
        <w:t>вались, предприниматели не обращались за поддержкой; 0501 – исполнение 16,3%; по разделу 0502 не расходовались средства по убыткам бани в связи с проверкой предоставленных документов, оплата будет произведена в 3 квартале 2024г.</w:t>
      </w:r>
      <w:proofErr w:type="gramEnd"/>
      <w:r>
        <w:rPr>
          <w:rFonts w:ascii="Calibri" w:eastAsia="Calibri" w:hAnsi="Calibri" w:cs="Calibri"/>
          <w:color w:val="000000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</w:rPr>
        <w:t>Оплата, предположительно, в</w:t>
      </w:r>
      <w:r>
        <w:rPr>
          <w:rFonts w:ascii="Calibri" w:eastAsia="Calibri" w:hAnsi="Calibri" w:cs="Calibri"/>
          <w:color w:val="000000"/>
        </w:rPr>
        <w:t xml:space="preserve"> августе 24г.; по разделу 0503 расходы не исполнены в связи с тем, что средства областных субсидий планируется использовать в 3 квартале 2024г.; по разделу 0707 - заработная плата работникам детской трудовой бригады будет выплачиваться с 1 июля 2024года., </w:t>
      </w:r>
      <w:r>
        <w:rPr>
          <w:rFonts w:ascii="Calibri" w:eastAsia="Calibri" w:hAnsi="Calibri" w:cs="Calibri"/>
          <w:color w:val="000000"/>
        </w:rPr>
        <w:t>по разделу 0801 исполнение 12,8%, расходы запланированы на 3-4 квартал 24г.; по разделу 1101 исполнение составило 19,9% в связи с</w:t>
      </w:r>
      <w:proofErr w:type="gramEnd"/>
      <w:r>
        <w:rPr>
          <w:rFonts w:ascii="Calibri" w:eastAsia="Calibri" w:hAnsi="Calibri" w:cs="Calibri"/>
          <w:color w:val="000000"/>
        </w:rPr>
        <w:t xml:space="preserve"> планируемым освоением субсидии из областного бюджета в 3 квартале 2024,года.</w:t>
      </w:r>
    </w:p>
    <w:p w:rsidR="0097166A" w:rsidRDefault="00A85C6C">
      <w:pPr>
        <w:jc w:val="both"/>
      </w:pPr>
      <w:r>
        <w:rPr>
          <w:rFonts w:ascii="Calibri" w:eastAsia="Calibri" w:hAnsi="Calibri" w:cs="Calibri"/>
          <w:color w:val="000000"/>
        </w:rPr>
        <w:t> </w:t>
      </w:r>
    </w:p>
    <w:p w:rsidR="0097166A" w:rsidRDefault="00A85C6C">
      <w:pPr>
        <w:jc w:val="center"/>
      </w:pPr>
      <w:r>
        <w:rPr>
          <w:rFonts w:ascii="Calibri" w:eastAsia="Calibri" w:hAnsi="Calibri" w:cs="Calibri"/>
          <w:b/>
          <w:i/>
          <w:color w:val="000000"/>
        </w:rPr>
        <w:lastRenderedPageBreak/>
        <w:t>Раздел 4 "Анализ показателей финансовой отчетно</w:t>
      </w:r>
      <w:r>
        <w:rPr>
          <w:rFonts w:ascii="Calibri" w:eastAsia="Calibri" w:hAnsi="Calibri" w:cs="Calibri"/>
          <w:b/>
          <w:i/>
          <w:color w:val="000000"/>
        </w:rPr>
        <w:t>сти субъекта бюджетной отчетности</w:t>
      </w:r>
      <w:r>
        <w:rPr>
          <w:rFonts w:ascii="Calibri" w:eastAsia="Calibri" w:hAnsi="Calibri" w:cs="Calibri"/>
          <w:i/>
          <w:color w:val="000000"/>
        </w:rPr>
        <w:t>"</w:t>
      </w:r>
    </w:p>
    <w:p w:rsidR="0097166A" w:rsidRDefault="00A85C6C">
      <w:pPr>
        <w:jc w:val="center"/>
      </w:pPr>
      <w:r>
        <w:rPr>
          <w:rFonts w:ascii="Calibri" w:eastAsia="Calibri" w:hAnsi="Calibri" w:cs="Calibri"/>
          <w:color w:val="000000"/>
        </w:rPr>
        <w:t> </w:t>
      </w:r>
    </w:p>
    <w:p w:rsidR="0097166A" w:rsidRDefault="00A85C6C">
      <w:pPr>
        <w:jc w:val="both"/>
      </w:pPr>
      <w:r>
        <w:rPr>
          <w:rFonts w:ascii="Calibri" w:eastAsia="Calibri" w:hAnsi="Calibri" w:cs="Calibri"/>
          <w:color w:val="000000"/>
        </w:rPr>
        <w:t>      Просроченной кредиторской задолженности нет.</w:t>
      </w:r>
    </w:p>
    <w:p w:rsidR="0097166A" w:rsidRDefault="00A85C6C">
      <w:pPr>
        <w:jc w:val="both"/>
      </w:pPr>
      <w:r>
        <w:rPr>
          <w:rFonts w:ascii="Calibri" w:eastAsia="Calibri" w:hAnsi="Calibri" w:cs="Calibri"/>
          <w:color w:val="000000"/>
        </w:rPr>
        <w:t xml:space="preserve">На </w:t>
      </w:r>
      <w:proofErr w:type="spellStart"/>
      <w:r>
        <w:rPr>
          <w:rFonts w:ascii="Calibri" w:eastAsia="Calibri" w:hAnsi="Calibri" w:cs="Calibri"/>
          <w:color w:val="000000"/>
        </w:rPr>
        <w:t>забалансовом</w:t>
      </w:r>
      <w:proofErr w:type="spellEnd"/>
      <w:r>
        <w:rPr>
          <w:rFonts w:ascii="Calibri" w:eastAsia="Calibri" w:hAnsi="Calibri" w:cs="Calibri"/>
          <w:color w:val="000000"/>
        </w:rPr>
        <w:t xml:space="preserve"> счете 01 «Имущество</w:t>
      </w:r>
      <w:proofErr w:type="gramStart"/>
      <w:r>
        <w:rPr>
          <w:rFonts w:ascii="Calibri" w:eastAsia="Calibri" w:hAnsi="Calibri" w:cs="Calibri"/>
          <w:color w:val="000000"/>
        </w:rPr>
        <w:t xml:space="preserve"> ,</w:t>
      </w:r>
      <w:proofErr w:type="gramEnd"/>
      <w:r>
        <w:rPr>
          <w:rFonts w:ascii="Calibri" w:eastAsia="Calibri" w:hAnsi="Calibri" w:cs="Calibri"/>
          <w:color w:val="000000"/>
        </w:rPr>
        <w:t xml:space="preserve"> полученное в пользование» числится </w:t>
      </w:r>
    </w:p>
    <w:p w:rsidR="0097166A" w:rsidRDefault="00A85C6C">
      <w:pPr>
        <w:numPr>
          <w:ilvl w:val="0"/>
          <w:numId w:val="1"/>
        </w:num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Авторазливочная станция ЗИЛ131АРС-14 ПМ стоимостью 760 199,04рублей</w:t>
      </w:r>
    </w:p>
    <w:p w:rsidR="0097166A" w:rsidRDefault="00A85C6C">
      <w:pPr>
        <w:numPr>
          <w:ilvl w:val="0"/>
          <w:numId w:val="1"/>
        </w:numPr>
        <w:jc w:val="both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Пожарная</w:t>
      </w:r>
      <w:proofErr w:type="gramEnd"/>
      <w:r>
        <w:rPr>
          <w:rFonts w:ascii="Calibri" w:eastAsia="Calibri" w:hAnsi="Calibri" w:cs="Calibri"/>
          <w:color w:val="000000"/>
        </w:rPr>
        <w:t xml:space="preserve"> мотопомпа SERM-50</w:t>
      </w:r>
      <w:r>
        <w:rPr>
          <w:rFonts w:ascii="Calibri" w:eastAsia="Calibri" w:hAnsi="Calibri" w:cs="Calibri"/>
          <w:color w:val="000000"/>
        </w:rPr>
        <w:t>V стоимостью 39 800.00рублей.</w:t>
      </w:r>
    </w:p>
    <w:p w:rsidR="0097166A" w:rsidRDefault="00A85C6C">
      <w:pPr>
        <w:jc w:val="both"/>
      </w:pPr>
      <w:proofErr w:type="gramStart"/>
      <w:r>
        <w:rPr>
          <w:rFonts w:ascii="Calibri" w:eastAsia="Calibri" w:hAnsi="Calibri" w:cs="Calibri"/>
          <w:color w:val="000000"/>
        </w:rPr>
        <w:t xml:space="preserve">На </w:t>
      </w:r>
      <w:proofErr w:type="spellStart"/>
      <w:r>
        <w:rPr>
          <w:rFonts w:ascii="Calibri" w:eastAsia="Calibri" w:hAnsi="Calibri" w:cs="Calibri"/>
          <w:color w:val="000000"/>
        </w:rPr>
        <w:t>забалансовом</w:t>
      </w:r>
      <w:proofErr w:type="spellEnd"/>
      <w:r>
        <w:rPr>
          <w:rFonts w:ascii="Calibri" w:eastAsia="Calibri" w:hAnsi="Calibri" w:cs="Calibri"/>
          <w:color w:val="000000"/>
        </w:rPr>
        <w:t xml:space="preserve"> счете 22 материальные запасы: концертные костюмы, спортивная форма, спортивные принадлежности (палатки, мячи, коньки, лыжи, спортивные снаряды).</w:t>
      </w:r>
      <w:proofErr w:type="gramEnd"/>
    </w:p>
    <w:p w:rsidR="0097166A" w:rsidRDefault="00A85C6C">
      <w:pPr>
        <w:jc w:val="both"/>
      </w:pPr>
      <w:r>
        <w:rPr>
          <w:rFonts w:ascii="Calibri" w:eastAsia="Calibri" w:hAnsi="Calibri" w:cs="Calibri"/>
          <w:b/>
          <w:color w:val="000000"/>
        </w:rPr>
        <w:t> </w:t>
      </w:r>
    </w:p>
    <w:p w:rsidR="0097166A" w:rsidRDefault="00A85C6C">
      <w:pPr>
        <w:jc w:val="center"/>
      </w:pPr>
      <w:r>
        <w:rPr>
          <w:rFonts w:ascii="Calibri" w:eastAsia="Calibri" w:hAnsi="Calibri" w:cs="Calibri"/>
          <w:b/>
          <w:i/>
          <w:color w:val="000000"/>
        </w:rPr>
        <w:t>Раздел 5 "Прочие вопросы деятельности субъекта бюджетной отчетн</w:t>
      </w:r>
      <w:r>
        <w:rPr>
          <w:rFonts w:ascii="Calibri" w:eastAsia="Calibri" w:hAnsi="Calibri" w:cs="Calibri"/>
          <w:b/>
          <w:i/>
          <w:color w:val="000000"/>
        </w:rPr>
        <w:t>ости"</w:t>
      </w:r>
    </w:p>
    <w:p w:rsidR="0097166A" w:rsidRDefault="00A85C6C">
      <w:pPr>
        <w:jc w:val="center"/>
      </w:pPr>
      <w:r>
        <w:rPr>
          <w:rFonts w:ascii="Calibri" w:eastAsia="Calibri" w:hAnsi="Calibri" w:cs="Calibri"/>
          <w:color w:val="000000"/>
        </w:rPr>
        <w:t> </w:t>
      </w:r>
    </w:p>
    <w:p w:rsidR="0097166A" w:rsidRDefault="00A85C6C">
      <w:pPr>
        <w:jc w:val="both"/>
      </w:pPr>
      <w:r>
        <w:rPr>
          <w:rFonts w:ascii="Calibri" w:eastAsia="Calibri" w:hAnsi="Calibri" w:cs="Calibri"/>
          <w:color w:val="000000"/>
        </w:rPr>
        <w:t>     Принятие к учету основных сре</w:t>
      </w:r>
      <w:proofErr w:type="gramStart"/>
      <w:r>
        <w:rPr>
          <w:rFonts w:ascii="Calibri" w:eastAsia="Calibri" w:hAnsi="Calibri" w:cs="Calibri"/>
          <w:color w:val="000000"/>
        </w:rPr>
        <w:t>дств пр</w:t>
      </w:r>
      <w:proofErr w:type="gramEnd"/>
      <w:r>
        <w:rPr>
          <w:rFonts w:ascii="Calibri" w:eastAsia="Calibri" w:hAnsi="Calibri" w:cs="Calibri"/>
          <w:color w:val="000000"/>
        </w:rPr>
        <w:t xml:space="preserve">оизводится по первоначальной стоимости, объекты. </w:t>
      </w:r>
      <w:proofErr w:type="gramStart"/>
      <w:r>
        <w:rPr>
          <w:rFonts w:ascii="Calibri" w:eastAsia="Calibri" w:hAnsi="Calibri" w:cs="Calibri"/>
          <w:color w:val="000000"/>
        </w:rPr>
        <w:t>Подвергшиеся переоценке, учитываются по восстановительной стоимости, списание производится по остаточной стоимости.</w:t>
      </w:r>
      <w:proofErr w:type="gramEnd"/>
      <w:r>
        <w:rPr>
          <w:rFonts w:ascii="Calibri" w:eastAsia="Calibri" w:hAnsi="Calibri" w:cs="Calibri"/>
          <w:color w:val="000000"/>
        </w:rPr>
        <w:t xml:space="preserve"> Амортизация начисляется линейным способом,</w:t>
      </w:r>
      <w:r>
        <w:rPr>
          <w:rFonts w:ascii="Calibri" w:eastAsia="Calibri" w:hAnsi="Calibri" w:cs="Calibri"/>
          <w:color w:val="000000"/>
        </w:rPr>
        <w:t xml:space="preserve"> начиная с 1 числа, следующего за месяцем принятия объекта к учету. Датой начисления считается последнее число месяца. Материальные запасы учитываются по фактической стоимости, датой поступления считается дата первичного документа. При работе с финансовыми</w:t>
      </w:r>
      <w:r>
        <w:rPr>
          <w:rFonts w:ascii="Calibri" w:eastAsia="Calibri" w:hAnsi="Calibri" w:cs="Calibri"/>
          <w:color w:val="000000"/>
        </w:rPr>
        <w:t xml:space="preserve"> средствами применяется кассовый метод. В учреждениях проведены следующие мероприятия внутреннего контроля: проверка правильности составления авансовых отчетов, выявлены ошибки, а именно неправильно </w:t>
      </w:r>
      <w:proofErr w:type="gramStart"/>
      <w:r>
        <w:rPr>
          <w:rFonts w:ascii="Calibri" w:eastAsia="Calibri" w:hAnsi="Calibri" w:cs="Calibri"/>
          <w:color w:val="000000"/>
        </w:rPr>
        <w:t>указан</w:t>
      </w:r>
      <w:proofErr w:type="gramEnd"/>
      <w:r>
        <w:rPr>
          <w:rFonts w:ascii="Calibri" w:eastAsia="Calibri" w:hAnsi="Calibri" w:cs="Calibri"/>
          <w:color w:val="000000"/>
        </w:rPr>
        <w:t xml:space="preserve"> КОСГУ по некоторым видам расходов; проводилась про</w:t>
      </w:r>
      <w:r>
        <w:rPr>
          <w:rFonts w:ascii="Calibri" w:eastAsia="Calibri" w:hAnsi="Calibri" w:cs="Calibri"/>
          <w:color w:val="000000"/>
        </w:rPr>
        <w:t>верка правильности расчетов убытков бани; проводилась проверка правильности начисления заработной платы.  Ежеквартально отчеты об исполнении бюджета проверяются Контрольно-счетным органом, а также проекты решений Совета депутатов об уточнении бюджета и про</w:t>
      </w:r>
      <w:r>
        <w:rPr>
          <w:rFonts w:ascii="Calibri" w:eastAsia="Calibri" w:hAnsi="Calibri" w:cs="Calibri"/>
          <w:color w:val="000000"/>
        </w:rPr>
        <w:t>ект бюджета на текущий финансовый год.</w:t>
      </w:r>
    </w:p>
    <w:p w:rsidR="0097166A" w:rsidRDefault="00A85C6C">
      <w:pPr>
        <w:jc w:val="both"/>
      </w:pPr>
      <w:r>
        <w:rPr>
          <w:rFonts w:ascii="Calibri" w:eastAsia="Calibri" w:hAnsi="Calibri" w:cs="Calibri"/>
          <w:color w:val="000000"/>
        </w:rPr>
        <w:t> </w:t>
      </w:r>
    </w:p>
    <w:p w:rsidR="0097166A" w:rsidRDefault="00A85C6C">
      <w:pPr>
        <w:jc w:val="both"/>
      </w:pPr>
      <w:r>
        <w:rPr>
          <w:rFonts w:ascii="Calibri" w:eastAsia="Calibri" w:hAnsi="Calibri" w:cs="Calibri"/>
          <w:color w:val="000000"/>
        </w:rPr>
        <w:t xml:space="preserve">     Поселение в целевых программах участие не принимало, поэтому ф 167 не </w:t>
      </w:r>
      <w:proofErr w:type="gramStart"/>
      <w:r>
        <w:rPr>
          <w:rFonts w:ascii="Calibri" w:eastAsia="Calibri" w:hAnsi="Calibri" w:cs="Calibri"/>
          <w:color w:val="000000"/>
        </w:rPr>
        <w:t>заполнена</w:t>
      </w:r>
      <w:proofErr w:type="gramEnd"/>
      <w:r>
        <w:rPr>
          <w:rFonts w:ascii="Calibri" w:eastAsia="Calibri" w:hAnsi="Calibri" w:cs="Calibri"/>
          <w:color w:val="000000"/>
        </w:rPr>
        <w:t xml:space="preserve">, Формы отчетности 0503167,0503171,0503173,0503174,0503175,0503178,0503191,0503192,0503193 не представлены, так как имеют нулевые </w:t>
      </w:r>
      <w:r>
        <w:rPr>
          <w:rFonts w:ascii="Calibri" w:eastAsia="Calibri" w:hAnsi="Calibri" w:cs="Calibri"/>
          <w:color w:val="000000"/>
        </w:rPr>
        <w:t xml:space="preserve">показатели. Поселение не участвует в национальных проектах, поэтому ф 128-НП также не </w:t>
      </w:r>
      <w:proofErr w:type="gramStart"/>
      <w:r>
        <w:rPr>
          <w:rFonts w:ascii="Calibri" w:eastAsia="Calibri" w:hAnsi="Calibri" w:cs="Calibri"/>
          <w:color w:val="000000"/>
        </w:rPr>
        <w:t>предоставлена</w:t>
      </w:r>
      <w:proofErr w:type="gramEnd"/>
      <w:r>
        <w:rPr>
          <w:rFonts w:ascii="Calibri" w:eastAsia="Calibri" w:hAnsi="Calibri" w:cs="Calibri"/>
          <w:color w:val="000000"/>
        </w:rPr>
        <w:t>.</w:t>
      </w:r>
    </w:p>
    <w:p w:rsidR="0097166A" w:rsidRDefault="00A85C6C">
      <w:pPr>
        <w:jc w:val="both"/>
      </w:pPr>
      <w:r>
        <w:rPr>
          <w:rFonts w:ascii="Calibri" w:eastAsia="Calibri" w:hAnsi="Calibri" w:cs="Calibri"/>
          <w:color w:val="000000"/>
        </w:rPr>
        <w:t> </w:t>
      </w:r>
    </w:p>
    <w:p w:rsidR="0097166A" w:rsidRDefault="00A85C6C">
      <w:pPr>
        <w:jc w:val="both"/>
      </w:pPr>
      <w:r>
        <w:rPr>
          <w:rFonts w:ascii="Calibri" w:eastAsia="Calibri" w:hAnsi="Calibri" w:cs="Calibri"/>
          <w:color w:val="000000"/>
        </w:rPr>
        <w:t> </w:t>
      </w:r>
    </w:p>
    <w:p w:rsidR="0097166A" w:rsidRDefault="00A85C6C">
      <w:pPr>
        <w:jc w:val="both"/>
      </w:pPr>
      <w:r>
        <w:rPr>
          <w:rFonts w:ascii="Calibri" w:eastAsia="Calibri" w:hAnsi="Calibri" w:cs="Calibri"/>
          <w:color w:val="000000"/>
        </w:rPr>
        <w:t> </w:t>
      </w:r>
    </w:p>
    <w:p w:rsidR="0097166A" w:rsidRDefault="00A85C6C">
      <w:pPr>
        <w:jc w:val="both"/>
      </w:pPr>
      <w:r>
        <w:rPr>
          <w:rFonts w:ascii="Calibri" w:eastAsia="Calibri" w:hAnsi="Calibri" w:cs="Calibri"/>
          <w:color w:val="000000"/>
        </w:rPr>
        <w:t> </w:t>
      </w:r>
    </w:p>
    <w:p w:rsidR="0097166A" w:rsidRDefault="00A85C6C">
      <w:pPr>
        <w:jc w:val="both"/>
      </w:pPr>
      <w:r>
        <w:rPr>
          <w:rFonts w:ascii="Calibri" w:eastAsia="Calibri" w:hAnsi="Calibri" w:cs="Calibri"/>
          <w:color w:val="000000"/>
        </w:rPr>
        <w:t> </w:t>
      </w:r>
    </w:p>
    <w:p w:rsidR="0097166A" w:rsidRDefault="00A85C6C">
      <w:pPr>
        <w:jc w:val="both"/>
      </w:pPr>
      <w:r>
        <w:rPr>
          <w:rFonts w:ascii="Calibri" w:eastAsia="Calibri" w:hAnsi="Calibri" w:cs="Calibri"/>
          <w:color w:val="000000"/>
        </w:rPr>
        <w:t>Главный бухгалтер:                                            Терентьева Е.С.</w:t>
      </w:r>
    </w:p>
    <w:p w:rsidR="0097166A" w:rsidRDefault="00A85C6C">
      <w:r>
        <w:rPr>
          <w:rFonts w:ascii="Calibri" w:eastAsia="Calibri" w:hAnsi="Calibri" w:cs="Calibri"/>
          <w:color w:val="000000"/>
        </w:rPr>
        <w:t> </w:t>
      </w:r>
    </w:p>
    <w:p w:rsidR="0097166A" w:rsidRDefault="0097166A"/>
    <w:tbl>
      <w:tblPr>
        <w:tblW w:w="12510" w:type="dxa"/>
        <w:tblInd w:w="-743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5"/>
        <w:gridCol w:w="5807"/>
        <w:gridCol w:w="3778"/>
      </w:tblGrid>
      <w:tr w:rsidR="0097166A">
        <w:tc>
          <w:tcPr>
            <w:tcW w:w="1091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66A" w:rsidRDefault="0097166A"/>
        </w:tc>
      </w:tr>
      <w:tr w:rsidR="0097166A"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66A" w:rsidRDefault="00A85C6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Руководитель</w:t>
            </w: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66A" w:rsidRDefault="00A85C6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2857500" cy="952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 dpi="0"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66A" w:rsidRDefault="00A85C6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Герасимчук Ольга Николаевна</w:t>
            </w:r>
          </w:p>
          <w:p w:rsidR="0097166A" w:rsidRDefault="00A85C6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(расшифровка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подписи)</w:t>
            </w:r>
          </w:p>
        </w:tc>
      </w:tr>
      <w:tr w:rsidR="0097166A">
        <w:trPr>
          <w:trHeight w:val="280"/>
        </w:trPr>
        <w:tc>
          <w:tcPr>
            <w:tcW w:w="25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166A" w:rsidRDefault="0097166A">
            <w:pPr>
              <w:rPr>
                <w:sz w:val="24"/>
              </w:rPr>
            </w:pP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66A" w:rsidRDefault="00A85C6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97166A" w:rsidRDefault="00A85C6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97166A" w:rsidRDefault="00A85C6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66A" w:rsidRDefault="0097166A">
            <w:pPr>
              <w:rPr>
                <w:sz w:val="24"/>
              </w:rPr>
            </w:pPr>
          </w:p>
        </w:tc>
      </w:tr>
      <w:tr w:rsidR="0097166A">
        <w:trPr>
          <w:trHeight w:val="132"/>
        </w:trPr>
        <w:tc>
          <w:tcPr>
            <w:tcW w:w="10916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166A" w:rsidRDefault="00A85C6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166A">
        <w:trPr>
          <w:trHeight w:val="281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66A" w:rsidRDefault="00A85C6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финансов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экономической службы</w:t>
            </w: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66A" w:rsidRDefault="00A85C6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2857500" cy="9525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 dpi="0"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66A" w:rsidRDefault="00A85C6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97166A">
        <w:trPr>
          <w:trHeight w:val="281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66A" w:rsidRDefault="0097166A">
            <w:pPr>
              <w:rPr>
                <w:sz w:val="24"/>
              </w:rPr>
            </w:pP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66A" w:rsidRDefault="00A85C6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97166A" w:rsidRDefault="00A85C6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66A" w:rsidRDefault="0097166A">
            <w:pPr>
              <w:rPr>
                <w:sz w:val="24"/>
              </w:rPr>
            </w:pPr>
          </w:p>
        </w:tc>
      </w:tr>
      <w:tr w:rsidR="0097166A">
        <w:trPr>
          <w:trHeight w:val="281"/>
        </w:trPr>
        <w:tc>
          <w:tcPr>
            <w:tcW w:w="10916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166A" w:rsidRDefault="00A85C6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166A">
        <w:trPr>
          <w:trHeight w:val="281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66A" w:rsidRDefault="00A85C6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66A" w:rsidRDefault="00A85C6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2857500" cy="9525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 dpi="0"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166A" w:rsidRDefault="00A85C6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Терентьева Елена Сергеевна</w:t>
            </w:r>
            <w:bookmarkStart w:id="0" w:name="_GoBack"/>
            <w:bookmarkEnd w:id="0"/>
          </w:p>
          <w:p w:rsidR="0097166A" w:rsidRDefault="00A85C6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97166A">
        <w:trPr>
          <w:trHeight w:val="281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66A" w:rsidRDefault="0097166A">
            <w:pPr>
              <w:rPr>
                <w:sz w:val="24"/>
              </w:rPr>
            </w:pP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66A" w:rsidRDefault="00A85C6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97166A" w:rsidRDefault="00A85C6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66A" w:rsidRDefault="0097166A">
            <w:pPr>
              <w:rPr>
                <w:sz w:val="24"/>
              </w:rPr>
            </w:pPr>
          </w:p>
        </w:tc>
      </w:tr>
    </w:tbl>
    <w:p w:rsidR="0097166A" w:rsidRDefault="00A85C6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97166A" w:rsidRDefault="00A85C6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97166A" w:rsidRDefault="00A85C6C">
      <w:r>
        <w:rPr>
          <w:rFonts w:ascii="Times New Roman" w:eastAsia="Times New Roman" w:hAnsi="Times New Roman" w:cs="Times New Roman"/>
          <w:sz w:val="24"/>
          <w:szCs w:val="24"/>
        </w:rPr>
        <w:t xml:space="preserve">Документ подписан электронной подписью.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Главный бухгалте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Терентьева Елена Сергеевна, Сертификат: 0BF10B4BFC6C688570FFE0EC282E8F36, Действителен: с 22.02.2024 по 17.05.2025),Руководитель финансово-экономической службы(Терентьева Елена Сергеевна, Сертификат: 0BF10B4BFC6C688570FFE0EC282E8F36, Дейс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твителен: с 22.02.2024 по 17.05.2025),Руководитель(Герасимчук Ольга Николаевна, Сертификат: 00CB1B32D43F9B1C6CF55956063F42B9F1, Действителен: с 23.05.2024 по 16.08.2025)        </w:t>
      </w:r>
    </w:p>
    <w:sectPr w:rsidR="0097166A">
      <w:pgSz w:w="15840" w:h="12240" w:orient="landscape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F6BA1"/>
    <w:multiLevelType w:val="hybridMultilevel"/>
    <w:tmpl w:val="D59070D4"/>
    <w:lvl w:ilvl="0" w:tplc="5C10B15D">
      <w:start w:val="1"/>
      <w:numFmt w:val="decimal"/>
      <w:lvlText w:val="%1."/>
      <w:lvlJc w:val="left"/>
      <w:pPr>
        <w:ind w:left="720" w:hanging="360"/>
      </w:pPr>
    </w:lvl>
    <w:lvl w:ilvl="1" w:tplc="64967666">
      <w:start w:val="1"/>
      <w:numFmt w:val="decimal"/>
      <w:lvlText w:val="%2."/>
      <w:lvlJc w:val="left"/>
      <w:pPr>
        <w:ind w:left="1440" w:hanging="360"/>
      </w:pPr>
    </w:lvl>
    <w:lvl w:ilvl="2" w:tplc="1A146504">
      <w:start w:val="1"/>
      <w:numFmt w:val="decimal"/>
      <w:lvlText w:val="%3."/>
      <w:lvlJc w:val="left"/>
      <w:pPr>
        <w:ind w:left="2160" w:hanging="360"/>
      </w:pPr>
    </w:lvl>
    <w:lvl w:ilvl="3" w:tplc="73453CE2">
      <w:start w:val="1"/>
      <w:numFmt w:val="decimal"/>
      <w:lvlText w:val="%4."/>
      <w:lvlJc w:val="left"/>
      <w:pPr>
        <w:ind w:left="2880" w:hanging="360"/>
      </w:pPr>
    </w:lvl>
    <w:lvl w:ilvl="4" w:tplc="1CF8D00E">
      <w:start w:val="1"/>
      <w:numFmt w:val="decimal"/>
      <w:lvlText w:val="%5."/>
      <w:lvlJc w:val="left"/>
      <w:pPr>
        <w:ind w:left="3600" w:hanging="360"/>
      </w:pPr>
    </w:lvl>
    <w:lvl w:ilvl="5" w:tplc="10F22C44">
      <w:start w:val="1"/>
      <w:numFmt w:val="decimal"/>
      <w:lvlText w:val="%6."/>
      <w:lvlJc w:val="left"/>
      <w:pPr>
        <w:ind w:left="4320" w:hanging="360"/>
      </w:pPr>
    </w:lvl>
    <w:lvl w:ilvl="6" w:tplc="0792976D">
      <w:start w:val="1"/>
      <w:numFmt w:val="decimal"/>
      <w:lvlText w:val="%7."/>
      <w:lvlJc w:val="left"/>
      <w:pPr>
        <w:ind w:left="5040" w:hanging="360"/>
      </w:pPr>
    </w:lvl>
    <w:lvl w:ilvl="7" w:tplc="38A4BB7F">
      <w:start w:val="1"/>
      <w:numFmt w:val="decimal"/>
      <w:lvlText w:val="%8."/>
      <w:lvlJc w:val="left"/>
      <w:pPr>
        <w:ind w:left="5760" w:hanging="360"/>
      </w:pPr>
    </w:lvl>
    <w:lvl w:ilvl="8" w:tplc="7E7438B2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7166A"/>
    <w:rsid w:val="0097166A"/>
    <w:rsid w:val="00A8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85C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5C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1200</Words>
  <Characters>6842</Characters>
  <Application>Microsoft Office Word</Application>
  <DocSecurity>0</DocSecurity>
  <Lines>57</Lines>
  <Paragraphs>16</Paragraphs>
  <ScaleCrop>false</ScaleCrop>
  <Company/>
  <LinksUpToDate>false</LinksUpToDate>
  <CharactersWithSpaces>8026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2024-09-30T08:53:00Z</dcterms:created>
  <dcterms:modified xsi:type="dcterms:W3CDTF">2024-09-30T08:55:00Z</dcterms:modified>
</cp:coreProperties>
</file>