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F4" w:rsidRPr="00927FAF" w:rsidRDefault="006B25F4" w:rsidP="008B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FA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B25F4" w:rsidRPr="00927FAF" w:rsidRDefault="006B25F4" w:rsidP="008B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F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6B25F4" w:rsidRPr="00927FAF" w:rsidRDefault="006B25F4" w:rsidP="008B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СЕВАСТЬЯНОВСКОЕ</w:t>
      </w:r>
      <w:r w:rsidRPr="00927FAF">
        <w:rPr>
          <w:rFonts w:ascii="Times New Roman" w:hAnsi="Times New Roman" w:cs="Times New Roman"/>
          <w:sz w:val="28"/>
          <w:szCs w:val="28"/>
        </w:rPr>
        <w:t xml:space="preserve">СЕЛЬСКОЕ ПОСЕЛЕНИЕ  </w:t>
      </w:r>
    </w:p>
    <w:p w:rsidR="006B25F4" w:rsidRPr="00927FAF" w:rsidRDefault="006B25F4" w:rsidP="008B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FAF">
        <w:rPr>
          <w:rFonts w:ascii="Times New Roman" w:hAnsi="Times New Roman" w:cs="Times New Roman"/>
          <w:sz w:val="28"/>
          <w:szCs w:val="28"/>
        </w:rPr>
        <w:t>МУНИЦИПАЛЬНОГО ОБРАЗОВАНИЯ ПРИОЗЕРСКИЙ</w:t>
      </w:r>
    </w:p>
    <w:p w:rsidR="006B25F4" w:rsidRPr="00927FAF" w:rsidRDefault="006B25F4" w:rsidP="008B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FAF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25F4" w:rsidRDefault="006B25F4" w:rsidP="008B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5F4" w:rsidRPr="004C32E4" w:rsidRDefault="006B25F4" w:rsidP="004C3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2E4">
        <w:rPr>
          <w:rFonts w:ascii="Times New Roman" w:hAnsi="Times New Roman" w:cs="Times New Roman"/>
          <w:sz w:val="28"/>
          <w:szCs w:val="28"/>
        </w:rPr>
        <w:t xml:space="preserve">П О С Т А Н О В Л Е Н И Е            </w:t>
      </w:r>
    </w:p>
    <w:p w:rsidR="006B25F4" w:rsidRPr="00927FAF" w:rsidRDefault="006B25F4" w:rsidP="008B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5F4" w:rsidRPr="00927FAF" w:rsidRDefault="006B25F4" w:rsidP="008B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FA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bookmarkStart w:id="0" w:name="_GoBack"/>
      <w:bookmarkEnd w:id="0"/>
      <w:r w:rsidRPr="00927FAF">
        <w:rPr>
          <w:rFonts w:ascii="Times New Roman" w:hAnsi="Times New Roman" w:cs="Times New Roman"/>
          <w:sz w:val="28"/>
          <w:szCs w:val="28"/>
        </w:rPr>
        <w:t xml:space="preserve">декабря 2021 года   № </w:t>
      </w:r>
      <w:r>
        <w:rPr>
          <w:rFonts w:ascii="Times New Roman" w:hAnsi="Times New Roman" w:cs="Times New Roman"/>
          <w:sz w:val="28"/>
          <w:szCs w:val="28"/>
        </w:rPr>
        <w:t>313</w:t>
      </w:r>
    </w:p>
    <w:p w:rsidR="006B25F4" w:rsidRPr="0093135B" w:rsidRDefault="006B25F4" w:rsidP="008B3EF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</w:tblGrid>
      <w:tr w:rsidR="006B25F4" w:rsidRPr="00FC25BE">
        <w:trPr>
          <w:trHeight w:val="250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B25F4" w:rsidRPr="00FC25BE" w:rsidRDefault="006B25F4" w:rsidP="00FC25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«Устойчивое общественное развитие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sz w:val="28"/>
                <w:szCs w:val="28"/>
              </w:rPr>
              <w:t>сельское поселение на 2022-2024 год»</w:t>
            </w:r>
          </w:p>
        </w:tc>
      </w:tr>
    </w:tbl>
    <w:p w:rsidR="006B25F4" w:rsidRPr="0093135B" w:rsidRDefault="006B25F4" w:rsidP="008B3EF2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  <w:r w:rsidRPr="00805F33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 Федеральными законами от 06.10.2003 года № 131-ФЗ 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 областными законами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начастях территорий муниципального образования Ленинградской области»,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руководствуясь Уставом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Севастьяновское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муниципального образования Приозерский муниципальный район Ленинградской области ПОСТАНОВЛЯЕТ:</w:t>
      </w:r>
    </w:p>
    <w:p w:rsidR="006B25F4" w:rsidRPr="00805F33" w:rsidRDefault="006B25F4" w:rsidP="00805F3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5F33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муниципальную программу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Севастьяновское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сельское поселение «Устойчивое общественное развитие в муниципальном образовании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Севастьяновское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на 2022-2024 год» (Приложение).</w:t>
      </w:r>
    </w:p>
    <w:p w:rsidR="006B25F4" w:rsidRPr="00805F33" w:rsidRDefault="006B25F4" w:rsidP="00805F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2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постановление опубликовать в средствах массовой информации и разместить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Севастьяновское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>сельское поселение муниципального образования Приозерский муниципальный район Ленинградской области.</w:t>
      </w:r>
    </w:p>
    <w:p w:rsidR="006B25F4" w:rsidRPr="00805F33" w:rsidRDefault="006B25F4" w:rsidP="00805F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3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с 01.01.2022 года.</w:t>
      </w:r>
    </w:p>
    <w:p w:rsidR="006B25F4" w:rsidRPr="00805F33" w:rsidRDefault="006B25F4" w:rsidP="00805F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5F3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05F3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данного постановления оставляю за собой.</w:t>
      </w:r>
    </w:p>
    <w:p w:rsidR="006B25F4" w:rsidRPr="00805F33" w:rsidRDefault="006B25F4" w:rsidP="00805F3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25F4" w:rsidRPr="00C00061" w:rsidRDefault="006B25F4" w:rsidP="008B3EF2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F33">
        <w:rPr>
          <w:rFonts w:ascii="Times New Roman" w:hAnsi="Times New Roman" w:cs="Times New Roman"/>
          <w:sz w:val="28"/>
          <w:szCs w:val="28"/>
        </w:rPr>
        <w:t xml:space="preserve">Глава администрации МО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 Герасимчук</w:t>
      </w: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Севастьяновское</w:t>
      </w:r>
      <w:r w:rsidRPr="00805F3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05F33">
        <w:rPr>
          <w:rFonts w:ascii="Times New Roman" w:hAnsi="Times New Roman" w:cs="Times New Roman"/>
          <w:sz w:val="28"/>
          <w:szCs w:val="28"/>
        </w:rPr>
        <w:tab/>
      </w:r>
      <w:r w:rsidRPr="00805F33">
        <w:rPr>
          <w:rFonts w:ascii="Times New Roman" w:hAnsi="Times New Roman" w:cs="Times New Roman"/>
          <w:sz w:val="28"/>
          <w:szCs w:val="28"/>
        </w:rPr>
        <w:tab/>
      </w:r>
      <w:r w:rsidRPr="00805F33">
        <w:rPr>
          <w:rFonts w:ascii="Times New Roman" w:hAnsi="Times New Roman" w:cs="Times New Roman"/>
          <w:sz w:val="28"/>
          <w:szCs w:val="28"/>
        </w:rPr>
        <w:tab/>
      </w:r>
      <w:r w:rsidRPr="00805F33">
        <w:rPr>
          <w:rFonts w:ascii="Times New Roman" w:hAnsi="Times New Roman" w:cs="Times New Roman"/>
          <w:sz w:val="28"/>
          <w:szCs w:val="28"/>
        </w:rPr>
        <w:tab/>
      </w:r>
      <w:r w:rsidRPr="00805F33">
        <w:rPr>
          <w:rFonts w:ascii="Times New Roman" w:hAnsi="Times New Roman" w:cs="Times New Roman"/>
          <w:sz w:val="28"/>
          <w:szCs w:val="28"/>
        </w:rPr>
        <w:tab/>
      </w: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5F33">
        <w:rPr>
          <w:rFonts w:ascii="Times New Roman" w:hAnsi="Times New Roman" w:cs="Times New Roman"/>
          <w:sz w:val="16"/>
          <w:szCs w:val="16"/>
        </w:rPr>
        <w:t xml:space="preserve">Исп:. </w:t>
      </w:r>
      <w:r>
        <w:rPr>
          <w:rFonts w:ascii="Times New Roman" w:hAnsi="Times New Roman" w:cs="Times New Roman"/>
          <w:sz w:val="16"/>
          <w:szCs w:val="16"/>
        </w:rPr>
        <w:t>ОсиповаЛ.Л.</w:t>
      </w:r>
      <w:r w:rsidRPr="00805F33">
        <w:rPr>
          <w:rFonts w:ascii="Times New Roman" w:hAnsi="Times New Roman" w:cs="Times New Roman"/>
          <w:sz w:val="16"/>
          <w:szCs w:val="16"/>
        </w:rPr>
        <w:t xml:space="preserve">8 (813 79) 91-167   </w:t>
      </w: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5F33">
        <w:rPr>
          <w:rFonts w:ascii="Times New Roman" w:hAnsi="Times New Roman" w:cs="Times New Roman"/>
          <w:sz w:val="16"/>
          <w:szCs w:val="16"/>
        </w:rPr>
        <w:t>Разослано: дело-2, прокуратурв-1.КСО-1, сектор экономики и финансов-1, ЛенОблИнформ-1, сайт-1.</w:t>
      </w:r>
    </w:p>
    <w:p w:rsidR="006B25F4" w:rsidRPr="00805F33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F4" w:rsidRDefault="006B25F4" w:rsidP="0080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Default="006B25F4" w:rsidP="00C33A6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A81BA2" w:rsidRDefault="006B25F4" w:rsidP="00A81BA2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6B25F4" w:rsidRPr="00A81BA2" w:rsidRDefault="006B25F4" w:rsidP="00A81BA2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B25F4" w:rsidRPr="00A81BA2" w:rsidRDefault="006B25F4" w:rsidP="00A81BA2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B25F4" w:rsidRPr="00A81BA2" w:rsidRDefault="006B25F4" w:rsidP="00A81BA2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Севастьяновское </w:t>
      </w:r>
      <w:r w:rsidRPr="00A81BA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6B25F4" w:rsidRPr="00A81BA2" w:rsidRDefault="006B25F4" w:rsidP="00A81BA2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 xml:space="preserve">Приозерский муниципальный район </w:t>
      </w:r>
    </w:p>
    <w:p w:rsidR="006B25F4" w:rsidRPr="00A81BA2" w:rsidRDefault="006B25F4" w:rsidP="00A81BA2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6B25F4" w:rsidRPr="00A81BA2" w:rsidRDefault="006B25F4" w:rsidP="00A81B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81BA2">
        <w:rPr>
          <w:rFonts w:ascii="Times New Roman" w:hAnsi="Times New Roman" w:cs="Times New Roman"/>
          <w:sz w:val="28"/>
          <w:szCs w:val="28"/>
        </w:rPr>
        <w:t xml:space="preserve">.12.2021   года № </w:t>
      </w:r>
      <w:r>
        <w:rPr>
          <w:rFonts w:ascii="Times New Roman" w:hAnsi="Times New Roman" w:cs="Times New Roman"/>
          <w:sz w:val="28"/>
          <w:szCs w:val="28"/>
        </w:rPr>
        <w:t>313</w:t>
      </w:r>
    </w:p>
    <w:p w:rsidR="006B25F4" w:rsidRPr="00A81BA2" w:rsidRDefault="006B25F4" w:rsidP="00A81B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BA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B25F4" w:rsidRPr="005F76A7" w:rsidRDefault="006B25F4" w:rsidP="00074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5F76A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25F4" w:rsidRPr="00BC31CE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C31CE">
        <w:rPr>
          <w:rFonts w:ascii="Times New Roman" w:hAnsi="Times New Roman" w:cs="Times New Roman"/>
          <w:caps/>
          <w:sz w:val="28"/>
          <w:szCs w:val="28"/>
        </w:rPr>
        <w:t>Муниципальная программа</w:t>
      </w:r>
    </w:p>
    <w:p w:rsidR="006B25F4" w:rsidRPr="00FC3C57" w:rsidRDefault="006B25F4" w:rsidP="0007449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6B25F4" w:rsidRPr="00975C9B" w:rsidRDefault="006B25F4" w:rsidP="00975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C9B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Севастьяновское</w:t>
      </w:r>
      <w:r w:rsidRPr="00975C9B">
        <w:rPr>
          <w:rFonts w:ascii="Times New Roman" w:hAnsi="Times New Roman" w:cs="Times New Roman"/>
          <w:sz w:val="28"/>
          <w:szCs w:val="28"/>
        </w:rPr>
        <w:t>сельское поселение на 2022-2024 год</w:t>
      </w:r>
      <w:r w:rsidRPr="00975C9B">
        <w:rPr>
          <w:rFonts w:ascii="Times New Roman" w:hAnsi="Times New Roman" w:cs="Times New Roman"/>
          <w:sz w:val="24"/>
          <w:szCs w:val="24"/>
        </w:rPr>
        <w:t>»</w:t>
      </w: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Pr="00FC3C5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Pr="005F76A7" w:rsidRDefault="006B25F4" w:rsidP="000744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313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Default="006B25F4" w:rsidP="009313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48B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B25F4" w:rsidRPr="007B135E" w:rsidRDefault="006B25F4" w:rsidP="009313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35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6B25F4" w:rsidRDefault="006B25F4" w:rsidP="009313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35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2268D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УСТОЙЧИВОЕ ОБЩЕСТВЕННОЕ РАЗВИТИЕ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СЕВАСТЬЯНОВСКОЕ</w:t>
      </w:r>
      <w:r w:rsidRPr="00E2268D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ПОСЕЛЬНИЕ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2022 -2024 ГОД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25F4" w:rsidRDefault="006B25F4" w:rsidP="009313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Default="006B25F4" w:rsidP="009313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Срокиреализации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2022-2024гг</w:t>
            </w: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FC25B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жизнедеятельности в сельской местности и привлечение местного населения в решении вопросов местного значения.</w:t>
            </w:r>
          </w:p>
          <w:p w:rsidR="006B25F4" w:rsidRPr="00FC25BE" w:rsidRDefault="006B25F4" w:rsidP="00FC25B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потенциала молодежи в интересах МО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поселение.</w:t>
            </w: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FC25B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пунктов.</w:t>
            </w:r>
          </w:p>
          <w:p w:rsidR="006B25F4" w:rsidRPr="00FC25BE" w:rsidRDefault="006B25F4" w:rsidP="00FC25B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интеллектуального, творческого, потенциала молодежи, вовлечение молодых людей в добровольческую (волонтерскую) деятельность.</w:t>
            </w: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28" w:type="dxa"/>
          </w:tcPr>
          <w:p w:rsidR="006B25F4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147-оз - </w:t>
            </w:r>
            <w:r w:rsidRPr="005F4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уличного освещения по ул. Ладожская и ул. Некрасова в пос. Березово, по ул. Тихой в пос. Шушино</w:t>
            </w:r>
            <w:r w:rsidRPr="005F43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3-оз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детской площадки в пос. Севастьяново</w:t>
            </w:r>
          </w:p>
          <w:p w:rsidR="006B25F4" w:rsidRPr="00FC25BE" w:rsidRDefault="006B25F4" w:rsidP="00FC25B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и увеличение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молодежи активно принимающих участие во всех молодежных мероприятиях и акциях, а также в добровольческой (волонтерской) деятельности.</w:t>
            </w: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не предусмотрена</w:t>
            </w: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2 533,9 тыс. руб.: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2 453,9 тыс. руб.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40,0 тыс. руб.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40,0 тыс. руб.</w:t>
            </w:r>
          </w:p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F4" w:rsidRPr="00FC25BE">
        <w:tc>
          <w:tcPr>
            <w:tcW w:w="2943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628" w:type="dxa"/>
          </w:tcPr>
          <w:p w:rsidR="006B25F4" w:rsidRPr="00FC25BE" w:rsidRDefault="006B25F4" w:rsidP="0093135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6B25F4" w:rsidRDefault="006B25F4" w:rsidP="00FC3C5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Default="006B25F4" w:rsidP="00FC3C5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3E7423" w:rsidRDefault="006B25F4" w:rsidP="00C33A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9317A2" w:rsidRDefault="006B25F4" w:rsidP="001952C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9317A2" w:rsidRDefault="006B25F4" w:rsidP="001952C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7A2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характеристика, основные проблемы и прогноз</w:t>
      </w:r>
    </w:p>
    <w:p w:rsidR="006B25F4" w:rsidRPr="009317A2" w:rsidRDefault="006B25F4" w:rsidP="001952C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7A2">
        <w:rPr>
          <w:rFonts w:ascii="Times New Roman" w:hAnsi="Times New Roman" w:cs="Times New Roman"/>
          <w:b/>
          <w:bCs/>
          <w:sz w:val="24"/>
          <w:szCs w:val="24"/>
        </w:rPr>
        <w:t>развития сферы реализации муниципальной программы</w:t>
      </w:r>
    </w:p>
    <w:p w:rsidR="006B25F4" w:rsidRPr="009317A2" w:rsidRDefault="006B25F4" w:rsidP="001952C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9317A2" w:rsidRDefault="006B25F4" w:rsidP="0093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7A2">
        <w:rPr>
          <w:rFonts w:ascii="Times New Roman" w:hAnsi="Times New Roman" w:cs="Times New Roman"/>
          <w:sz w:val="24"/>
          <w:szCs w:val="24"/>
        </w:rPr>
        <w:t xml:space="preserve">Статьей 14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6B25F4" w:rsidRPr="009317A2" w:rsidRDefault="006B25F4" w:rsidP="0093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7A2">
        <w:rPr>
          <w:rFonts w:ascii="Times New Roman" w:hAnsi="Times New Roman" w:cs="Times New Roman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</w:t>
      </w:r>
    </w:p>
    <w:p w:rsidR="006B25F4" w:rsidRDefault="006B25F4" w:rsidP="00931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17A2">
        <w:rPr>
          <w:rFonts w:ascii="Times New Roman" w:hAnsi="Times New Roman" w:cs="Times New Roman"/>
          <w:sz w:val="24"/>
          <w:szCs w:val="24"/>
          <w:lang w:eastAsia="ar-SA"/>
        </w:rPr>
        <w:t>В целях поддержки непосредственного осуществления населением местного самоуправления были приняты областные законы: 28 декабря 2018 года № 147-оз «О старостах сельских населенных пунктов Ленинградской области и содействии участия населения в осуществлении местного самоуправления в иных формах на частях территорий муниципальных образований Ленинградской области», 15 января 2018 года № 3-оз «О содействию участия населения в осуществлении местного самоуправления в иных формах на территориях муниципальных образований Ленинградской области».</w:t>
      </w:r>
    </w:p>
    <w:p w:rsidR="006B25F4" w:rsidRDefault="006B25F4" w:rsidP="009D3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3141">
        <w:rPr>
          <w:rFonts w:ascii="Times New Roman" w:hAnsi="Times New Roman" w:cs="Times New Roman"/>
          <w:sz w:val="24"/>
          <w:szCs w:val="24"/>
          <w:lang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6B25F4" w:rsidRPr="009317A2" w:rsidRDefault="006B25F4" w:rsidP="009D3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17A2">
        <w:rPr>
          <w:rFonts w:ascii="Times New Roman" w:hAnsi="Times New Roman" w:cs="Times New Roman"/>
          <w:sz w:val="24"/>
          <w:szCs w:val="24"/>
          <w:lang w:eastAsia="ar-SA"/>
        </w:rPr>
        <w:t xml:space="preserve">Участие старосты в жизнедеятельности поселения является важным аспектом для органов местного самоуправления в создании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комфортных условий проживания в </w:t>
      </w:r>
      <w:r w:rsidRPr="009317A2">
        <w:rPr>
          <w:rFonts w:ascii="Times New Roman" w:hAnsi="Times New Roman" w:cs="Times New Roman"/>
          <w:sz w:val="24"/>
          <w:szCs w:val="24"/>
          <w:lang w:eastAsia="ar-SA"/>
        </w:rPr>
        <w:t>сельской местности.</w:t>
      </w:r>
    </w:p>
    <w:p w:rsidR="006B25F4" w:rsidRDefault="006B25F4" w:rsidP="001631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141">
        <w:rPr>
          <w:rFonts w:ascii="Times New Roman" w:hAnsi="Times New Roman" w:cs="Times New Roman"/>
          <w:sz w:val="24"/>
          <w:szCs w:val="24"/>
          <w:lang w:eastAsia="ru-RU"/>
        </w:rPr>
        <w:t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:rsidR="006B25F4" w:rsidRPr="001631FE" w:rsidRDefault="006B25F4" w:rsidP="0016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1FE">
        <w:rPr>
          <w:rFonts w:ascii="Times New Roman" w:hAnsi="Times New Roman" w:cs="Times New Roman"/>
          <w:sz w:val="24"/>
          <w:szCs w:val="24"/>
          <w:lang w:eastAsia="ar-SA"/>
        </w:rPr>
        <w:t xml:space="preserve">В рамках вышеперечисленных законов можно решить проблемные вопросы поселения в целом, как </w:t>
      </w:r>
      <w:r>
        <w:rPr>
          <w:rFonts w:ascii="Times New Roman" w:hAnsi="Times New Roman" w:cs="Times New Roman"/>
          <w:sz w:val="24"/>
          <w:szCs w:val="24"/>
          <w:lang w:eastAsia="ar-SA"/>
        </w:rPr>
        <w:t>обустройство</w:t>
      </w:r>
      <w:r w:rsidRPr="001631FE">
        <w:rPr>
          <w:rFonts w:ascii="Times New Roman" w:hAnsi="Times New Roman" w:cs="Times New Roman"/>
          <w:sz w:val="24"/>
          <w:szCs w:val="24"/>
          <w:lang w:eastAsia="ar-SA"/>
        </w:rPr>
        <w:t xml:space="preserve"> детских п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лощадок и обустройство контейнерных площадок, </w:t>
      </w:r>
      <w:r w:rsidRPr="001631FE">
        <w:rPr>
          <w:rFonts w:ascii="Times New Roman" w:hAnsi="Times New Roman" w:cs="Times New Roman"/>
          <w:sz w:val="24"/>
          <w:szCs w:val="24"/>
          <w:lang w:eastAsia="ar-SA"/>
        </w:rPr>
        <w:t>что повысит уровень комфортного проживания в сельской местности.</w:t>
      </w:r>
    </w:p>
    <w:p w:rsidR="006B25F4" w:rsidRPr="001631FE" w:rsidRDefault="006B25F4" w:rsidP="001631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631F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Реализация данной программы требует комплексного подхода и имеющуюся проблему в поселении необходимо разрешать не в один финансовый год.</w:t>
      </w:r>
    </w:p>
    <w:p w:rsidR="006B25F4" w:rsidRPr="00F12F59" w:rsidRDefault="006B25F4" w:rsidP="00F12F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2F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Важнейшим фактором устойчивого развития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Севастьяновское</w:t>
      </w:r>
      <w:r w:rsidRPr="00F12F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сельское поселение (далее МО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Севастьяновское</w:t>
      </w:r>
      <w:r w:rsidRPr="00F12F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сельское поселение) формирования инновационной экономики, роста благосостояния и общественной активности является эффективная реализация в </w:t>
      </w:r>
      <w:hyperlink r:id="rId7" w:tooltip="Муниципальные образования" w:history="1">
        <w:r w:rsidRPr="00F12F59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муниципальном образовании</w:t>
        </w:r>
      </w:hyperlink>
      <w:r w:rsidRPr="00F12F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молодежной политики.</w:t>
      </w:r>
    </w:p>
    <w:p w:rsidR="006B25F4" w:rsidRDefault="006B25F4" w:rsidP="00395D3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12F59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интеллектуального, творческого, потенциала молодежи, вовлечение молодых людей в добровольчес</w:t>
      </w:r>
      <w:r>
        <w:rPr>
          <w:rFonts w:ascii="Times New Roman" w:hAnsi="Times New Roman" w:cs="Times New Roman"/>
          <w:color w:val="000000"/>
          <w:sz w:val="24"/>
          <w:szCs w:val="24"/>
        </w:rPr>
        <w:t>кую (волонтерскую) деятельность.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</w:t>
      </w:r>
      <w:r w:rsidRPr="00BC31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гражданско-патриотических качеств, проведение соревнований, конкурсов, выставок, слетов, военно-спортивных игр, оказание шефской помощи </w:t>
      </w:r>
      <w:hyperlink r:id="rId8" w:tooltip="Ветеран" w:history="1">
        <w:r w:rsidRPr="00BC31C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ветеранам</w:t>
        </w:r>
      </w:hyperlink>
      <w:r w:rsidRPr="00BC31C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войны, вдовам и семьям погибших и других мероприятиях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B25F4" w:rsidRPr="00395D38" w:rsidRDefault="006B25F4" w:rsidP="00395D3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5F4" w:rsidRDefault="006B25F4" w:rsidP="00543108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5F4" w:rsidRPr="009317A2" w:rsidRDefault="006B25F4" w:rsidP="00503BC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317A2">
        <w:rPr>
          <w:rFonts w:ascii="Times New Roman" w:hAnsi="Times New Roman" w:cs="Times New Roman"/>
          <w:b/>
          <w:bCs/>
          <w:sz w:val="24"/>
          <w:szCs w:val="24"/>
        </w:rPr>
        <w:t>2. Приоритеты и цели муниципальной политики в сфере</w:t>
      </w:r>
    </w:p>
    <w:p w:rsidR="006B25F4" w:rsidRPr="009317A2" w:rsidRDefault="006B25F4" w:rsidP="00503B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7A2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6B25F4" w:rsidRDefault="006B25F4" w:rsidP="00503B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494B10" w:rsidRDefault="006B25F4" w:rsidP="00494B1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 xml:space="preserve">Основными направлениями муниципальной политики в сфере развития местного самоуправления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494B10">
        <w:rPr>
          <w:rFonts w:ascii="Times New Roman" w:hAnsi="Times New Roman" w:cs="Times New Roman"/>
          <w:sz w:val="24"/>
          <w:szCs w:val="24"/>
        </w:rPr>
        <w:t>сельское поселени</w:t>
      </w:r>
      <w:r w:rsidRPr="00494B10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494B10">
        <w:rPr>
          <w:rFonts w:ascii="Times New Roman" w:hAnsi="Times New Roman" w:cs="Times New Roman"/>
          <w:sz w:val="24"/>
          <w:szCs w:val="24"/>
        </w:rPr>
        <w:t>являются поддержка и укрепление института старост в целях решения первоочередных вопросов местного значения, в том числе вопросов благоустройства терри</w:t>
      </w:r>
      <w:r>
        <w:rPr>
          <w:rFonts w:ascii="Times New Roman" w:hAnsi="Times New Roman" w:cs="Times New Roman"/>
          <w:sz w:val="24"/>
          <w:szCs w:val="24"/>
        </w:rPr>
        <w:t>торий, а также :</w:t>
      </w:r>
    </w:p>
    <w:p w:rsidR="006B25F4" w:rsidRDefault="006B25F4" w:rsidP="00494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>- создание комфортных условий жизнедеятельности в сельской местности;</w:t>
      </w:r>
    </w:p>
    <w:p w:rsidR="006B25F4" w:rsidRPr="00494B10" w:rsidRDefault="006B25F4" w:rsidP="00494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>- активизация местного населения в решении вопросов местного значения</w:t>
      </w:r>
    </w:p>
    <w:p w:rsidR="006B25F4" w:rsidRPr="00494B10" w:rsidRDefault="006B25F4" w:rsidP="0049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>- создание благоприятных условий для эффективного функционирования института старост на территории поселения</w:t>
      </w:r>
    </w:p>
    <w:p w:rsidR="006B25F4" w:rsidRPr="00494B10" w:rsidRDefault="006B25F4" w:rsidP="0049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494B10">
        <w:rPr>
          <w:rFonts w:ascii="Times New Roman" w:hAnsi="Times New Roman" w:cs="Times New Roman"/>
          <w:sz w:val="24"/>
          <w:szCs w:val="24"/>
        </w:rPr>
        <w:t>сельское поселение;</w:t>
      </w:r>
    </w:p>
    <w:p w:rsidR="006B25F4" w:rsidRPr="00494B10" w:rsidRDefault="006B25F4" w:rsidP="0049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>- организационная, консультационная и информационная поддержка субъектов малого и среднего предпринимательства;</w:t>
      </w:r>
    </w:p>
    <w:p w:rsidR="006B25F4" w:rsidRPr="00494B10" w:rsidRDefault="006B25F4" w:rsidP="00494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B10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и реализации потенциала молодежи в интересах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494B10">
        <w:rPr>
          <w:rFonts w:ascii="Times New Roman" w:hAnsi="Times New Roman" w:cs="Times New Roman"/>
          <w:sz w:val="24"/>
          <w:szCs w:val="24"/>
        </w:rPr>
        <w:t>сельское поселение;</w:t>
      </w:r>
    </w:p>
    <w:p w:rsidR="006B25F4" w:rsidRPr="00494B10" w:rsidRDefault="006B25F4" w:rsidP="00494B10">
      <w:pPr>
        <w:numPr>
          <w:ilvl w:val="0"/>
          <w:numId w:val="16"/>
        </w:numPr>
        <w:tabs>
          <w:tab w:val="num" w:pos="-142"/>
        </w:tabs>
        <w:spacing w:after="0" w:line="240" w:lineRule="auto"/>
        <w:ind w:left="0" w:firstLine="702"/>
        <w:rPr>
          <w:rFonts w:ascii="Times New Roman" w:hAnsi="Times New Roman" w:cs="Times New Roman"/>
          <w:sz w:val="24"/>
          <w:szCs w:val="24"/>
          <w:lang w:eastAsia="ar-SA"/>
        </w:rPr>
      </w:pPr>
      <w:r w:rsidRPr="00494B10">
        <w:rPr>
          <w:rFonts w:ascii="Times New Roman" w:hAnsi="Times New Roman" w:cs="Times New Roman"/>
          <w:sz w:val="24"/>
          <w:szCs w:val="24"/>
          <w:lang w:eastAsia="ar-SA"/>
        </w:rPr>
        <w:t>Цели муниципальной программы:</w:t>
      </w:r>
    </w:p>
    <w:p w:rsidR="006B25F4" w:rsidRPr="00494B10" w:rsidRDefault="006B25F4" w:rsidP="00494B10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2"/>
        <w:rPr>
          <w:rFonts w:ascii="Times New Roman" w:hAnsi="Times New Roman" w:cs="Times New Roman"/>
          <w:sz w:val="24"/>
          <w:szCs w:val="24"/>
          <w:lang w:eastAsia="ar-SA"/>
        </w:rPr>
      </w:pPr>
      <w:r w:rsidRPr="00494B10">
        <w:rPr>
          <w:rFonts w:ascii="Times New Roman" w:hAnsi="Times New Roman" w:cs="Times New Roman"/>
          <w:sz w:val="24"/>
          <w:szCs w:val="24"/>
          <w:lang w:eastAsia="ar-SA"/>
        </w:rPr>
        <w:t>- создание комфортных условий жизнедеятельности в  сельской местности;</w:t>
      </w:r>
    </w:p>
    <w:p w:rsidR="006B25F4" w:rsidRPr="00494B10" w:rsidRDefault="006B25F4" w:rsidP="00494B10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2"/>
        <w:rPr>
          <w:rFonts w:ascii="Times New Roman" w:hAnsi="Times New Roman" w:cs="Times New Roman"/>
          <w:sz w:val="24"/>
          <w:szCs w:val="24"/>
          <w:lang w:eastAsia="ar-SA"/>
        </w:rPr>
      </w:pPr>
      <w:r w:rsidRPr="00494B10">
        <w:rPr>
          <w:rFonts w:ascii="Times New Roman" w:hAnsi="Times New Roman" w:cs="Times New Roman"/>
          <w:sz w:val="24"/>
          <w:szCs w:val="24"/>
          <w:lang w:eastAsia="ar-SA"/>
        </w:rPr>
        <w:t>-создание благоприятных условий для постоянного развития малого  и среднего предпринимательства;</w:t>
      </w:r>
    </w:p>
    <w:p w:rsidR="006B25F4" w:rsidRPr="009317A2" w:rsidRDefault="006B25F4" w:rsidP="00494B10">
      <w:pPr>
        <w:widowControl w:val="0"/>
        <w:autoSpaceDE w:val="0"/>
        <w:autoSpaceDN w:val="0"/>
        <w:spacing w:after="0" w:line="240" w:lineRule="auto"/>
        <w:ind w:left="7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12F59">
        <w:rPr>
          <w:rFonts w:ascii="Times New Roman" w:hAnsi="Times New Roman" w:cs="Times New Roman"/>
          <w:color w:val="000000"/>
          <w:sz w:val="24"/>
          <w:szCs w:val="24"/>
        </w:rPr>
        <w:t>азвитие интеллектуального, творческого, потенциала молодежи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5F4" w:rsidRPr="009317A2" w:rsidRDefault="006B25F4" w:rsidP="00494B10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4B10">
        <w:rPr>
          <w:rFonts w:ascii="Times New Roman" w:hAnsi="Times New Roman" w:cs="Times New Roman"/>
          <w:sz w:val="24"/>
          <w:szCs w:val="24"/>
          <w:lang w:eastAsia="ar-SA"/>
        </w:rPr>
        <w:t xml:space="preserve"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</w:t>
      </w:r>
    </w:p>
    <w:p w:rsidR="006B25F4" w:rsidRPr="009317A2" w:rsidRDefault="006B25F4" w:rsidP="00494B1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317A2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отражены в таблице 1.</w:t>
      </w:r>
    </w:p>
    <w:p w:rsidR="006B25F4" w:rsidRPr="009317A2" w:rsidRDefault="006B25F4" w:rsidP="005D6B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B25F4" w:rsidRPr="009317A2" w:rsidRDefault="006B25F4" w:rsidP="00CD4D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7A2">
        <w:rPr>
          <w:rFonts w:ascii="Times New Roman" w:hAnsi="Times New Roman" w:cs="Times New Roman"/>
          <w:b/>
          <w:bCs/>
          <w:sz w:val="24"/>
          <w:szCs w:val="24"/>
        </w:rPr>
        <w:t>3. Информация о проектах и комплексах процессных мероприятий</w:t>
      </w:r>
    </w:p>
    <w:p w:rsidR="006B25F4" w:rsidRPr="009317A2" w:rsidRDefault="006B25F4" w:rsidP="005D6BB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Default="006B25F4" w:rsidP="00CD4D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3135B">
        <w:rPr>
          <w:rFonts w:ascii="Times New Roman" w:hAnsi="Times New Roman" w:cs="Times New Roman"/>
          <w:sz w:val="24"/>
          <w:szCs w:val="24"/>
          <w:lang w:eastAsia="ru-RU"/>
        </w:rPr>
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</w:r>
    </w:p>
    <w:p w:rsidR="006B25F4" w:rsidRDefault="006B25F4" w:rsidP="00CD4D1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3135B">
        <w:rPr>
          <w:rFonts w:ascii="Times New Roman" w:hAnsi="Times New Roman" w:cs="Times New Roman"/>
          <w:color w:val="000000"/>
          <w:sz w:val="24"/>
          <w:szCs w:val="24"/>
        </w:rPr>
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5F4" w:rsidRDefault="006B25F4" w:rsidP="00CD4D1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3135B">
        <w:rPr>
          <w:rFonts w:ascii="Times New Roman" w:hAnsi="Times New Roman" w:cs="Times New Roman"/>
          <w:color w:val="000000"/>
          <w:sz w:val="24"/>
          <w:szCs w:val="24"/>
        </w:rPr>
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6B25F4" w:rsidRDefault="006B25F4" w:rsidP="00CD4D1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3135B">
        <w:rPr>
          <w:rFonts w:ascii="Times New Roman" w:hAnsi="Times New Roman" w:cs="Times New Roman"/>
          <w:color w:val="000000"/>
          <w:sz w:val="24"/>
          <w:szCs w:val="24"/>
        </w:rPr>
        <w:t>Комплекс процессных мероприятий "Проведение молодежных массовых мероприятий, содействию трудовой адаптации и занятости молодежи"</w:t>
      </w:r>
    </w:p>
    <w:p w:rsidR="006B25F4" w:rsidRDefault="006B25F4" w:rsidP="00CD4D1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Pr="0093135B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мероприятий для детей и молодежи, содействие трудовой адаптации и занятости молодежи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25F4" w:rsidRDefault="006B25F4" w:rsidP="00CD4D1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Таблице 2.</w:t>
      </w:r>
    </w:p>
    <w:p w:rsidR="006B25F4" w:rsidRDefault="006B25F4" w:rsidP="00CD4D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BC0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реализуется за счет средств бюджета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r w:rsidRPr="00A04BC0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A04BC0">
        <w:rPr>
          <w:rFonts w:ascii="Times New Roman" w:hAnsi="Times New Roman" w:cs="Times New Roman"/>
          <w:color w:val="000000"/>
          <w:sz w:val="24"/>
          <w:szCs w:val="24"/>
        </w:rPr>
        <w:t>Приозерский муниципальный район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 средств областного бюджета.</w:t>
      </w:r>
    </w:p>
    <w:p w:rsidR="006B25F4" w:rsidRDefault="006B25F4" w:rsidP="00CD4D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C0">
        <w:rPr>
          <w:rFonts w:ascii="Times New Roman" w:hAnsi="Times New Roman" w:cs="Times New Roman"/>
          <w:color w:val="000000"/>
          <w:sz w:val="24"/>
          <w:szCs w:val="24"/>
        </w:rPr>
        <w:t>Общий  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м   ресурсного   обеспечения программы представлен в таблице 4 «</w:t>
      </w:r>
      <w:r>
        <w:rPr>
          <w:rFonts w:ascii="Times New Roman" w:hAnsi="Times New Roman" w:cs="Times New Roman"/>
          <w:sz w:val="24"/>
          <w:szCs w:val="24"/>
        </w:rPr>
        <w:t>Расходы на</w:t>
      </w:r>
    </w:p>
    <w:p w:rsidR="006B25F4" w:rsidRPr="00B24A54" w:rsidRDefault="006B25F4" w:rsidP="00CD4D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A54">
        <w:rPr>
          <w:rFonts w:ascii="Times New Roman" w:hAnsi="Times New Roman" w:cs="Times New Roman"/>
          <w:sz w:val="24"/>
          <w:szCs w:val="24"/>
        </w:rPr>
        <w:t>реа</w:t>
      </w:r>
      <w:r>
        <w:rPr>
          <w:rFonts w:ascii="Times New Roman" w:hAnsi="Times New Roman" w:cs="Times New Roman"/>
          <w:sz w:val="24"/>
          <w:szCs w:val="24"/>
        </w:rPr>
        <w:t>лизацию муниципальной программы».</w:t>
      </w:r>
    </w:p>
    <w:p w:rsidR="006B25F4" w:rsidRDefault="006B25F4" w:rsidP="00CD4D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Информацияо ходе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Таблице 3 предоставляется ежеквартально.</w:t>
      </w:r>
    </w:p>
    <w:p w:rsidR="006B25F4" w:rsidRDefault="006B25F4" w:rsidP="0092552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Налоговые расходы программой не предусмотрены.</w:t>
      </w:r>
    </w:p>
    <w:p w:rsidR="006B25F4" w:rsidRDefault="006B25F4" w:rsidP="0092552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F4D">
        <w:rPr>
          <w:rFonts w:ascii="Times New Roman" w:hAnsi="Times New Roman" w:cs="Times New Roman"/>
          <w:b/>
          <w:bCs/>
          <w:sz w:val="24"/>
          <w:szCs w:val="24"/>
        </w:rPr>
        <w:t>4.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 xml:space="preserve">Неисполнение муниципальной программы будет препятствовать созданию условий для дальнейшего повышения доступности жилья для населения, обеспечения комфортной среды обитания и жизнедеятельности. 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будет заключаться в достижении предусмотренных ею целей, создании условий для устойчивого и эффективного функционирования жилищно-коммунального комплекса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526F4D">
        <w:rPr>
          <w:rFonts w:ascii="Times New Roman" w:hAnsi="Times New Roman" w:cs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области.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 xml:space="preserve">Снижение объемов финансирования является риском не реализации муниципальной программы, снижения значений и показателей эффективности её реализации. Недофинансирование мероприятий программы может привести к снижению показателей её эффективности, корректировке приоритетов в реализации исходя из объема имеющихся ресурсов. 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>Способом ограничения финансового риска является ежегодная (при  необходимости) корректировка мероприятий муниципальной программы и показателей в зависимости от достигнутых результатов.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программы, срывам выполнения мероприятий и не достижению целевых показателей, неэффективному использованию ресурсов, повышению вероятности неконтролируемого влияния негативных факторов на реализацию программы.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>- усиление контроля за ходом выполнения мероприятий и совершенствованием механизма текущего управления реализацией муниципальной программы;</w:t>
      </w:r>
    </w:p>
    <w:p w:rsidR="006B25F4" w:rsidRPr="00526F4D" w:rsidRDefault="006B25F4" w:rsidP="00526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D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муниципальной программы.</w:t>
      </w:r>
    </w:p>
    <w:p w:rsidR="006B25F4" w:rsidRPr="00925522" w:rsidRDefault="006B25F4" w:rsidP="0092552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  <w:sectPr w:rsidR="006B25F4" w:rsidRPr="00925522" w:rsidSect="00751BA6">
          <w:pgSz w:w="11907" w:h="16840" w:code="9"/>
          <w:pgMar w:top="1134" w:right="992" w:bottom="567" w:left="1418" w:header="567" w:footer="851" w:gutter="0"/>
          <w:pgNumType w:start="1"/>
          <w:cols w:space="709"/>
          <w:titlePg/>
          <w:docGrid w:linePitch="326"/>
        </w:sectPr>
      </w:pPr>
    </w:p>
    <w:p w:rsidR="006B25F4" w:rsidRPr="001952C5" w:rsidRDefault="006B25F4" w:rsidP="000D5F0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952C5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B25F4" w:rsidRPr="005C7B95" w:rsidRDefault="006B25F4" w:rsidP="00526F4D">
      <w:pPr>
        <w:pStyle w:val="NoSpacing"/>
        <w:jc w:val="right"/>
        <w:rPr>
          <w:color w:val="000000"/>
        </w:rPr>
      </w:pPr>
      <w:r w:rsidRPr="001952C5">
        <w:rPr>
          <w:rFonts w:ascii="Times New Roman" w:hAnsi="Times New Roman" w:cs="Times New Roman"/>
          <w:sz w:val="24"/>
          <w:szCs w:val="24"/>
        </w:rPr>
        <w:t xml:space="preserve">к </w:t>
      </w:r>
      <w:r w:rsidRPr="00526F4D">
        <w:rPr>
          <w:rFonts w:ascii="Times New Roman" w:hAnsi="Times New Roman" w:cs="Times New Roman"/>
          <w:sz w:val="24"/>
          <w:szCs w:val="24"/>
        </w:rPr>
        <w:t>Программе</w:t>
      </w:r>
    </w:p>
    <w:p w:rsidR="006B25F4" w:rsidRDefault="006B25F4" w:rsidP="003A6B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5F4" w:rsidRPr="00920FAA" w:rsidRDefault="006B25F4" w:rsidP="003A6B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F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B25F4" w:rsidRPr="00920FAA" w:rsidRDefault="006B25F4" w:rsidP="00920FA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</w:rPr>
      </w:pPr>
      <w:r w:rsidRPr="00526F4D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526F4D">
        <w:rPr>
          <w:rFonts w:ascii="Times New Roman" w:hAnsi="Times New Roman" w:cs="Times New Roman"/>
          <w:sz w:val="24"/>
          <w:szCs w:val="24"/>
        </w:rPr>
        <w:t>сельское поселение на 2022-2024 год»</w:t>
      </w:r>
    </w:p>
    <w:tbl>
      <w:tblPr>
        <w:tblW w:w="153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977"/>
        <w:gridCol w:w="1635"/>
        <w:gridCol w:w="1605"/>
        <w:gridCol w:w="1544"/>
        <w:gridCol w:w="1674"/>
        <w:gridCol w:w="1487"/>
        <w:gridCol w:w="3474"/>
      </w:tblGrid>
      <w:tr w:rsidR="006B25F4" w:rsidRPr="00FC25BE">
        <w:tc>
          <w:tcPr>
            <w:tcW w:w="993" w:type="dxa"/>
            <w:vMerge w:val="restart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  <w:r w:rsidRPr="00920FAA">
              <w:rPr>
                <w:lang w:eastAsia="en-US"/>
              </w:rPr>
              <w:t>Наименование</w:t>
            </w:r>
          </w:p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  <w:r w:rsidRPr="00920FAA">
              <w:rPr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6310" w:type="dxa"/>
            <w:gridSpan w:val="4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  <w:tc>
          <w:tcPr>
            <w:tcW w:w="3474" w:type="dxa"/>
          </w:tcPr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  <w:r w:rsidRPr="00920FAA">
              <w:rPr>
                <w:lang w:eastAsia="en-US"/>
              </w:rPr>
              <w:t xml:space="preserve">Справочно: </w:t>
            </w:r>
          </w:p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  <w:r w:rsidRPr="00920FAA">
              <w:rPr>
                <w:lang w:eastAsia="en-US"/>
              </w:rPr>
              <w:t xml:space="preserve">базовое значение </w:t>
            </w:r>
          </w:p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  <w:r w:rsidRPr="00920FAA">
              <w:rPr>
                <w:lang w:eastAsia="en-US"/>
              </w:rPr>
              <w:t xml:space="preserve">целевого показателя </w:t>
            </w:r>
          </w:p>
          <w:p w:rsidR="006B25F4" w:rsidRPr="00920FAA" w:rsidRDefault="006B25F4" w:rsidP="00920FAA">
            <w:pPr>
              <w:pStyle w:val="ConsPlusCell"/>
              <w:jc w:val="center"/>
              <w:rPr>
                <w:lang w:eastAsia="en-US"/>
              </w:rPr>
            </w:pPr>
            <w:r w:rsidRPr="00920FAA">
              <w:rPr>
                <w:lang w:eastAsia="en-US"/>
              </w:rPr>
              <w:t>(на начало реализации муниципальной программы)</w:t>
            </w:r>
          </w:p>
        </w:tc>
      </w:tr>
      <w:tr w:rsidR="006B25F4" w:rsidRPr="00FC25BE">
        <w:tc>
          <w:tcPr>
            <w:tcW w:w="993" w:type="dxa"/>
            <w:vMerge/>
            <w:vAlign w:val="center"/>
          </w:tcPr>
          <w:p w:rsidR="006B25F4" w:rsidRPr="00FC25BE" w:rsidRDefault="006B25F4" w:rsidP="00920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6B25F4" w:rsidRPr="00FC25BE" w:rsidRDefault="006B25F4" w:rsidP="00920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:rsidR="006B25F4" w:rsidRPr="00FC25BE" w:rsidRDefault="006B25F4" w:rsidP="00920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первого года реализации</w:t>
            </w:r>
          </w:p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второго года реализации</w:t>
            </w:r>
          </w:p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третьего года реализации</w:t>
            </w:r>
          </w:p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…….</w:t>
            </w:r>
          </w:p>
        </w:tc>
        <w:tc>
          <w:tcPr>
            <w:tcW w:w="34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5F4" w:rsidRPr="00FC25BE">
        <w:trPr>
          <w:trHeight w:val="455"/>
        </w:trPr>
        <w:tc>
          <w:tcPr>
            <w:tcW w:w="15389" w:type="dxa"/>
            <w:gridSpan w:val="8"/>
          </w:tcPr>
          <w:p w:rsidR="006B25F4" w:rsidRPr="00FC25BE" w:rsidRDefault="006B25F4" w:rsidP="00526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1, ед.</w:t>
            </w:r>
          </w:p>
        </w:tc>
      </w:tr>
      <w:tr w:rsidR="006B25F4" w:rsidRPr="00FC25BE">
        <w:trPr>
          <w:trHeight w:val="738"/>
        </w:trPr>
        <w:tc>
          <w:tcPr>
            <w:tcW w:w="993" w:type="dxa"/>
            <w:vMerge w:val="restart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</w:tcPr>
          <w:p w:rsidR="006B25F4" w:rsidRPr="00FC25BE" w:rsidRDefault="006B25F4" w:rsidP="001064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635" w:type="dxa"/>
          </w:tcPr>
          <w:p w:rsidR="006B25F4" w:rsidRPr="00FC25BE" w:rsidRDefault="006B25F4" w:rsidP="00920FAA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 w:val="restart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B25F4" w:rsidRPr="00FC25BE">
        <w:trPr>
          <w:trHeight w:val="109"/>
        </w:trPr>
        <w:tc>
          <w:tcPr>
            <w:tcW w:w="993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6B25F4" w:rsidRPr="00FC25BE" w:rsidRDefault="006B25F4" w:rsidP="00920FAA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5F4" w:rsidRPr="00FC25BE">
        <w:trPr>
          <w:trHeight w:val="736"/>
        </w:trPr>
        <w:tc>
          <w:tcPr>
            <w:tcW w:w="993" w:type="dxa"/>
            <w:vMerge w:val="restart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7" w:type="dxa"/>
            <w:vMerge w:val="restart"/>
          </w:tcPr>
          <w:p w:rsidR="006B25F4" w:rsidRPr="00FC25BE" w:rsidRDefault="006B25F4" w:rsidP="001064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635" w:type="dxa"/>
          </w:tcPr>
          <w:p w:rsidR="006B25F4" w:rsidRPr="00FC25BE" w:rsidRDefault="006B25F4" w:rsidP="00751BA6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 w:val="restart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B25F4" w:rsidRPr="00FC25BE">
        <w:trPr>
          <w:trHeight w:val="3372"/>
        </w:trPr>
        <w:tc>
          <w:tcPr>
            <w:tcW w:w="993" w:type="dxa"/>
            <w:vMerge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6B25F4" w:rsidRPr="00FC25BE" w:rsidRDefault="006B25F4" w:rsidP="00751BA6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5F4" w:rsidRPr="00FC25BE">
        <w:tc>
          <w:tcPr>
            <w:tcW w:w="993" w:type="dxa"/>
            <w:vMerge w:val="restart"/>
          </w:tcPr>
          <w:p w:rsidR="006B25F4" w:rsidRPr="00FC25BE" w:rsidRDefault="006B25F4" w:rsidP="00106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77" w:type="dxa"/>
            <w:vMerge w:val="restart"/>
          </w:tcPr>
          <w:p w:rsidR="006B25F4" w:rsidRPr="00FC25BE" w:rsidRDefault="006B25F4" w:rsidP="0010643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635" w:type="dxa"/>
          </w:tcPr>
          <w:p w:rsidR="006B25F4" w:rsidRPr="00FC25BE" w:rsidRDefault="006B25F4" w:rsidP="00920FAA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 w:val="restart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B25F4" w:rsidRPr="00FC25BE">
        <w:tc>
          <w:tcPr>
            <w:tcW w:w="993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6B25F4" w:rsidRPr="00FC25BE" w:rsidRDefault="006B25F4" w:rsidP="00920FAA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5F4" w:rsidRPr="00FC25BE">
        <w:tc>
          <w:tcPr>
            <w:tcW w:w="15389" w:type="dxa"/>
            <w:gridSpan w:val="8"/>
          </w:tcPr>
          <w:p w:rsidR="006B25F4" w:rsidRPr="00FC25BE" w:rsidRDefault="006B25F4" w:rsidP="00920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2, ед.</w:t>
            </w:r>
          </w:p>
        </w:tc>
      </w:tr>
      <w:tr w:rsidR="006B25F4" w:rsidRPr="00FC25BE">
        <w:trPr>
          <w:trHeight w:val="110"/>
        </w:trPr>
        <w:tc>
          <w:tcPr>
            <w:tcW w:w="15389" w:type="dxa"/>
            <w:gridSpan w:val="8"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3, ед.</w:t>
            </w:r>
          </w:p>
        </w:tc>
      </w:tr>
      <w:tr w:rsidR="006B25F4" w:rsidRPr="00FC25BE">
        <w:trPr>
          <w:trHeight w:val="110"/>
        </w:trPr>
        <w:tc>
          <w:tcPr>
            <w:tcW w:w="993" w:type="dxa"/>
            <w:vMerge w:val="restart"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:rsidR="006B25F4" w:rsidRPr="00FC25BE" w:rsidRDefault="006B25F4" w:rsidP="0010643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635" w:type="dxa"/>
          </w:tcPr>
          <w:p w:rsidR="006B25F4" w:rsidRPr="00FC25BE" w:rsidRDefault="006B25F4" w:rsidP="00A97EE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 w:val="restart"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B25F4" w:rsidRPr="00FC25BE">
        <w:trPr>
          <w:trHeight w:val="109"/>
        </w:trPr>
        <w:tc>
          <w:tcPr>
            <w:tcW w:w="993" w:type="dxa"/>
            <w:vMerge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6B25F4" w:rsidRPr="00FC25BE" w:rsidRDefault="006B25F4" w:rsidP="00A97EE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5F4" w:rsidRPr="00FC25BE">
        <w:trPr>
          <w:trHeight w:val="167"/>
        </w:trPr>
        <w:tc>
          <w:tcPr>
            <w:tcW w:w="993" w:type="dxa"/>
            <w:vMerge w:val="restart"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977" w:type="dxa"/>
            <w:vMerge w:val="restart"/>
          </w:tcPr>
          <w:p w:rsidR="006B25F4" w:rsidRPr="00FC25BE" w:rsidRDefault="006B25F4" w:rsidP="005E6A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635" w:type="dxa"/>
          </w:tcPr>
          <w:p w:rsidR="006B25F4" w:rsidRPr="00FC25BE" w:rsidRDefault="006B25F4" w:rsidP="0075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7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 w:val="restart"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B25F4" w:rsidRPr="00FC25BE">
        <w:trPr>
          <w:trHeight w:val="133"/>
        </w:trPr>
        <w:tc>
          <w:tcPr>
            <w:tcW w:w="993" w:type="dxa"/>
            <w:vMerge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</w:tcPr>
          <w:p w:rsidR="006B25F4" w:rsidRPr="00FC25BE" w:rsidRDefault="006B25F4" w:rsidP="00751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4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7" w:type="dxa"/>
          </w:tcPr>
          <w:p w:rsidR="006B25F4" w:rsidRPr="00FC25BE" w:rsidRDefault="006B25F4" w:rsidP="00751B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vMerge/>
          </w:tcPr>
          <w:p w:rsidR="006B25F4" w:rsidRPr="00FC25BE" w:rsidRDefault="006B25F4" w:rsidP="00A97E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6B25F4" w:rsidRPr="00526F4D" w:rsidRDefault="006B25F4" w:rsidP="00526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26F4D">
        <w:rPr>
          <w:rFonts w:ascii="Times New Roman" w:hAnsi="Times New Roman" w:cs="Times New Roman"/>
          <w:sz w:val="24"/>
          <w:szCs w:val="24"/>
          <w:lang w:eastAsia="en-US"/>
        </w:rPr>
        <w:t xml:space="preserve">к Программе </w:t>
      </w:r>
    </w:p>
    <w:p w:rsidR="006B25F4" w:rsidRPr="00920FAA" w:rsidRDefault="006B25F4" w:rsidP="00920FA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Pr="00B65862" w:rsidRDefault="006B25F4" w:rsidP="00920FA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</w:p>
    <w:p w:rsidR="006B25F4" w:rsidRPr="00B65862" w:rsidRDefault="006B25F4" w:rsidP="00920FA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A71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941A71">
        <w:rPr>
          <w:rFonts w:ascii="Times New Roman" w:hAnsi="Times New Roman" w:cs="Times New Roman"/>
          <w:sz w:val="24"/>
          <w:szCs w:val="24"/>
        </w:rPr>
        <w:t>сельское поселение на 2022-2024 год»</w:t>
      </w:r>
    </w:p>
    <w:tbl>
      <w:tblPr>
        <w:tblW w:w="14757" w:type="dxa"/>
        <w:tblInd w:w="2" w:type="dxa"/>
        <w:tblLook w:val="00A0"/>
      </w:tblPr>
      <w:tblGrid>
        <w:gridCol w:w="3618"/>
        <w:gridCol w:w="2112"/>
        <w:gridCol w:w="1384"/>
        <w:gridCol w:w="1700"/>
        <w:gridCol w:w="1539"/>
        <w:gridCol w:w="1276"/>
        <w:gridCol w:w="1581"/>
        <w:gridCol w:w="1547"/>
      </w:tblGrid>
      <w:tr w:rsidR="006B25F4" w:rsidRPr="00FC25BE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6B25F4" w:rsidRPr="00FC25BE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</w:tbl>
    <w:p w:rsidR="006B25F4" w:rsidRPr="00B65862" w:rsidRDefault="006B25F4" w:rsidP="00920F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2" w:type="dxa"/>
        <w:tblLook w:val="00A0"/>
      </w:tblPr>
      <w:tblGrid>
        <w:gridCol w:w="3590"/>
        <w:gridCol w:w="2838"/>
        <w:gridCol w:w="1174"/>
        <w:gridCol w:w="1640"/>
        <w:gridCol w:w="1456"/>
        <w:gridCol w:w="1232"/>
        <w:gridCol w:w="1425"/>
        <w:gridCol w:w="1402"/>
      </w:tblGrid>
      <w:tr w:rsidR="006B25F4" w:rsidRPr="00FC25BE" w:rsidTr="00624443">
        <w:trPr>
          <w:trHeight w:val="300"/>
          <w:tblHeader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25A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Устойчивое общественное развитие в муниципальном образовании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 на 2022-2024 год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B82B8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Севастьяновское</w:t>
            </w: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2 453,9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2 124,2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295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51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</w:t>
            </w: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5F4" w:rsidRPr="00FC25BE">
        <w:trPr>
          <w:trHeight w:val="450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606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9B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2 413,9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2 124,2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91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2 413,9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2 124,2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16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B16E6B" w:rsidRDefault="006B25F4" w:rsidP="00B16E6B">
            <w:pPr>
              <w:pStyle w:val="ListParagraph"/>
              <w:numPr>
                <w:ilvl w:val="1"/>
                <w:numId w:val="18"/>
              </w:numPr>
              <w:ind w:left="-9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1 198,8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1 054,9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1819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1 198,8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1 054,9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643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B16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детской игровой площадки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1 198,8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1 054,9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1 198,8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1 054,9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Default="006B25F4" w:rsidP="00B16E6B">
            <w:pPr>
              <w:pStyle w:val="ListParagraph"/>
              <w:numPr>
                <w:ilvl w:val="1"/>
                <w:numId w:val="18"/>
              </w:numPr>
              <w:ind w:left="-9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:rsidR="006B25F4" w:rsidRDefault="006B25F4" w:rsidP="00B16E6B">
            <w:pPr>
              <w:pStyle w:val="ListParagraph"/>
              <w:ind w:lef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25F4" w:rsidRPr="00B16E6B" w:rsidRDefault="006B25F4" w:rsidP="00B16E6B">
            <w:pPr>
              <w:pStyle w:val="ListParagraph"/>
              <w:ind w:lef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1 215,1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1 069,3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57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1 215,1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1 069,3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5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458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02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1 215,1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1 069,3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C65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1 215,1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1 069,3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B16E6B" w:rsidRDefault="006B25F4" w:rsidP="00B16E6B">
            <w:pPr>
              <w:pStyle w:val="ListParagraph"/>
              <w:numPr>
                <w:ilvl w:val="0"/>
                <w:numId w:val="18"/>
              </w:numPr>
              <w:ind w:left="-93"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77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</w:t>
            </w: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751B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B16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9B4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Севастьяновское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30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F4" w:rsidRPr="00FC25BE" w:rsidTr="00624443">
        <w:trPr>
          <w:trHeight w:val="620"/>
        </w:trPr>
        <w:tc>
          <w:tcPr>
            <w:tcW w:w="3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5F4" w:rsidRPr="00FC25BE" w:rsidRDefault="006B25F4" w:rsidP="000D5F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2022 - 2024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</w:t>
            </w:r>
            <w:r w:rsidRPr="00FC2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5F4" w:rsidRPr="00FC25BE" w:rsidRDefault="006B25F4" w:rsidP="004E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5F4" w:rsidRPr="00FC25BE" w:rsidRDefault="006B25F4" w:rsidP="000D5F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Таблица 3</w:t>
      </w:r>
    </w:p>
    <w:p w:rsidR="006B25F4" w:rsidRPr="00526F4D" w:rsidRDefault="006B25F4" w:rsidP="00526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26F4D">
        <w:rPr>
          <w:rFonts w:ascii="Times New Roman" w:hAnsi="Times New Roman" w:cs="Times New Roman"/>
          <w:sz w:val="24"/>
          <w:szCs w:val="24"/>
          <w:lang w:eastAsia="en-US"/>
        </w:rPr>
        <w:t xml:space="preserve">к Программе </w:t>
      </w:r>
    </w:p>
    <w:p w:rsidR="006B25F4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Информация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о ходе реализации муниципальной программы /подпрограммы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«наименование программы /подпрограммы»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программы/подпрограммы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B25F4" w:rsidRPr="000D5F00" w:rsidRDefault="006B25F4" w:rsidP="00B24A54">
      <w:pPr>
        <w:pStyle w:val="ListParagraph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1. Выполнение плана мероприятий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D5F00">
        <w:rPr>
          <w:rFonts w:ascii="Times New Roman" w:hAnsi="Times New Roman" w:cs="Times New Roman"/>
          <w:i/>
          <w:iCs/>
          <w:sz w:val="24"/>
          <w:szCs w:val="24"/>
          <w:u w:val="single"/>
        </w:rPr>
        <w:t>(ежеквартально нарастающим итогом)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за период ______________________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2"/>
        <w:gridCol w:w="2356"/>
        <w:gridCol w:w="2889"/>
        <w:gridCol w:w="3120"/>
        <w:gridCol w:w="4251"/>
      </w:tblGrid>
      <w:tr w:rsidR="006B25F4" w:rsidRPr="00FC25BE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№ строки</w:t>
            </w:r>
          </w:p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B25F4" w:rsidRPr="00FC25BE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A97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A97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 xml:space="preserve">планируемое </w:t>
            </w:r>
          </w:p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 xml:space="preserve">фактическое </w:t>
            </w:r>
          </w:p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A97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5F4" w:rsidRPr="00FC25B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5</w:t>
            </w:r>
          </w:p>
        </w:tc>
      </w:tr>
      <w:tr w:rsidR="006B25F4" w:rsidRPr="00FC25B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  <w:r w:rsidRPr="000D5F00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</w:tr>
    </w:tbl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pStyle w:val="ListParagraph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2.Достижение целевых показателей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D5F00">
        <w:rPr>
          <w:rFonts w:ascii="Times New Roman" w:hAnsi="Times New Roman" w:cs="Times New Roman"/>
          <w:i/>
          <w:iCs/>
          <w:sz w:val="24"/>
          <w:szCs w:val="24"/>
          <w:u w:val="single"/>
        </w:rPr>
        <w:t>(ежегодно нарастающим итогом)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F00">
        <w:rPr>
          <w:rFonts w:ascii="Times New Roman" w:hAnsi="Times New Roman" w:cs="Times New Roman"/>
          <w:sz w:val="24"/>
          <w:szCs w:val="24"/>
        </w:rPr>
        <w:t>за период _______________________</w:t>
      </w:r>
    </w:p>
    <w:p w:rsidR="006B25F4" w:rsidRPr="000D5F00" w:rsidRDefault="006B25F4" w:rsidP="00B24A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2"/>
        <w:gridCol w:w="2551"/>
        <w:gridCol w:w="1842"/>
        <w:gridCol w:w="2692"/>
        <w:gridCol w:w="2979"/>
        <w:gridCol w:w="2552"/>
      </w:tblGrid>
      <w:tr w:rsidR="006B25F4" w:rsidRPr="00FC25BE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 xml:space="preserve">№ строки </w:t>
            </w:r>
          </w:p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Значение целевого показателя</w:t>
            </w:r>
          </w:p>
        </w:tc>
      </w:tr>
      <w:tr w:rsidR="006B25F4" w:rsidRPr="00FC25BE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A97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A97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4" w:rsidRPr="00FC25BE" w:rsidRDefault="006B25F4" w:rsidP="00A97E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планируемое</w:t>
            </w:r>
          </w:p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процент выполнения</w:t>
            </w:r>
          </w:p>
        </w:tc>
      </w:tr>
      <w:tr w:rsidR="006B25F4" w:rsidRPr="00FC25B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center"/>
              <w:rPr>
                <w:lang w:eastAsia="en-US"/>
              </w:rPr>
            </w:pPr>
            <w:r w:rsidRPr="000D5F00">
              <w:rPr>
                <w:lang w:eastAsia="en-US"/>
              </w:rPr>
              <w:t>6</w:t>
            </w:r>
          </w:p>
        </w:tc>
      </w:tr>
      <w:tr w:rsidR="006B25F4" w:rsidRPr="00FC25BE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  <w:r w:rsidRPr="000D5F00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4" w:rsidRPr="000D5F00" w:rsidRDefault="006B25F4" w:rsidP="00A97EE7">
            <w:pPr>
              <w:pStyle w:val="ConsPlusCell"/>
              <w:jc w:val="both"/>
              <w:rPr>
                <w:lang w:eastAsia="en-US"/>
              </w:rPr>
            </w:pPr>
          </w:p>
        </w:tc>
      </w:tr>
    </w:tbl>
    <w:p w:rsidR="006B25F4" w:rsidRPr="000D5F00" w:rsidRDefault="006B25F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D5F00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0D5F00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Pr="000D5F00" w:rsidRDefault="006B25F4" w:rsidP="000D5F00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6B25F4" w:rsidRPr="00526F4D" w:rsidRDefault="006B25F4" w:rsidP="00526F4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810"/>
      <w:bookmarkEnd w:id="1"/>
      <w:r w:rsidRPr="00526F4D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6B25F4" w:rsidRDefault="006B25F4" w:rsidP="00526F4D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25F4" w:rsidRPr="00B24A54" w:rsidRDefault="006B25F4" w:rsidP="00526F4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4A54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</w:t>
      </w:r>
    </w:p>
    <w:p w:rsidR="006B25F4" w:rsidRPr="00B24A54" w:rsidRDefault="006B25F4" w:rsidP="000D5F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A54">
        <w:rPr>
          <w:rFonts w:ascii="Times New Roman" w:hAnsi="Times New Roman" w:cs="Times New Roman"/>
          <w:sz w:val="24"/>
          <w:szCs w:val="24"/>
        </w:rPr>
        <w:t>«</w:t>
      </w:r>
      <w:r w:rsidRPr="00332202">
        <w:rPr>
          <w:rFonts w:ascii="Times New Roman" w:hAnsi="Times New Roman" w:cs="Times New Roman"/>
          <w:sz w:val="24"/>
          <w:szCs w:val="24"/>
        </w:rPr>
        <w:t xml:space="preserve">Устойчивое общественное развитие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Севастьяновское</w:t>
      </w:r>
      <w:r w:rsidRPr="00332202">
        <w:rPr>
          <w:rFonts w:ascii="Times New Roman" w:hAnsi="Times New Roman" w:cs="Times New Roman"/>
          <w:sz w:val="24"/>
          <w:szCs w:val="24"/>
        </w:rPr>
        <w:t>сельское поселение на 2022-2024 год</w:t>
      </w:r>
      <w:r w:rsidRPr="00B24A54">
        <w:rPr>
          <w:rFonts w:ascii="Times New Roman" w:hAnsi="Times New Roman" w:cs="Times New Roman"/>
          <w:sz w:val="24"/>
          <w:szCs w:val="24"/>
        </w:rPr>
        <w:t>»</w:t>
      </w:r>
    </w:p>
    <w:p w:rsidR="006B25F4" w:rsidRPr="00B24A54" w:rsidRDefault="006B25F4" w:rsidP="000D5F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51"/>
        <w:gridCol w:w="4819"/>
        <w:gridCol w:w="2552"/>
        <w:gridCol w:w="1417"/>
        <w:gridCol w:w="1418"/>
        <w:gridCol w:w="1418"/>
        <w:gridCol w:w="1368"/>
        <w:gridCol w:w="1325"/>
      </w:tblGrid>
      <w:tr w:rsidR="006B25F4" w:rsidRPr="00FC25BE">
        <w:tc>
          <w:tcPr>
            <w:tcW w:w="851" w:type="dxa"/>
            <w:vMerge w:val="restart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№</w:t>
            </w:r>
          </w:p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строки</w:t>
            </w:r>
          </w:p>
        </w:tc>
        <w:tc>
          <w:tcPr>
            <w:tcW w:w="4819" w:type="dxa"/>
            <w:vMerge w:val="restart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Источники финансирования</w:t>
            </w:r>
          </w:p>
        </w:tc>
        <w:tc>
          <w:tcPr>
            <w:tcW w:w="2552" w:type="dxa"/>
            <w:vMerge w:val="restart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Всего</w:t>
            </w:r>
          </w:p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(тыс. рублей)</w:t>
            </w:r>
          </w:p>
        </w:tc>
        <w:tc>
          <w:tcPr>
            <w:tcW w:w="6946" w:type="dxa"/>
            <w:gridSpan w:val="5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В том числе</w:t>
            </w:r>
          </w:p>
        </w:tc>
      </w:tr>
      <w:tr w:rsidR="006B25F4" w:rsidRPr="00FC25BE">
        <w:trPr>
          <w:cantSplit/>
          <w:trHeight w:val="1391"/>
        </w:trPr>
        <w:tc>
          <w:tcPr>
            <w:tcW w:w="851" w:type="dxa"/>
            <w:vMerge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6B25F4" w:rsidRPr="00FC25BE" w:rsidRDefault="006B25F4" w:rsidP="000D5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B25F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первый год реализации</w:t>
            </w:r>
          </w:p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418" w:type="dxa"/>
            <w:textDirection w:val="btLr"/>
            <w:vAlign w:val="center"/>
          </w:tcPr>
          <w:p w:rsidR="006B25F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второй год реализации</w:t>
            </w:r>
          </w:p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418" w:type="dxa"/>
            <w:textDirection w:val="btLr"/>
            <w:vAlign w:val="center"/>
          </w:tcPr>
          <w:p w:rsidR="006B25F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третий год реализации</w:t>
            </w:r>
          </w:p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368" w:type="dxa"/>
            <w:textDirection w:val="btLr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  <w:textDirection w:val="btLr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1</w:t>
            </w: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3</w:t>
            </w: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4</w:t>
            </w: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5</w:t>
            </w: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6</w:t>
            </w: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7</w:t>
            </w: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8</w:t>
            </w: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317" w:type="dxa"/>
            <w:gridSpan w:val="7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  <w:r w:rsidRPr="00B24A54">
              <w:rPr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both"/>
              <w:rPr>
                <w:lang w:eastAsia="en-US"/>
              </w:rPr>
            </w:pPr>
            <w:r w:rsidRPr="00B24A54">
              <w:rPr>
                <w:lang w:eastAsia="en-US"/>
              </w:rPr>
              <w:t xml:space="preserve">Всего: 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both"/>
              <w:rPr>
                <w:lang w:eastAsia="en-US"/>
              </w:rPr>
            </w:pPr>
            <w:r w:rsidRPr="00B24A54">
              <w:rPr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both"/>
              <w:rPr>
                <w:lang w:eastAsia="en-US"/>
              </w:rPr>
            </w:pPr>
            <w:r w:rsidRPr="00B24A54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both"/>
              <w:rPr>
                <w:lang w:eastAsia="en-US"/>
              </w:rPr>
            </w:pPr>
            <w:r w:rsidRPr="00B24A54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both"/>
              <w:rPr>
                <w:lang w:eastAsia="en-US"/>
              </w:rPr>
            </w:pPr>
            <w:r w:rsidRPr="00B24A54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6B25F4" w:rsidRPr="00FC25BE">
        <w:tc>
          <w:tcPr>
            <w:tcW w:w="851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6B25F4" w:rsidRPr="00B24A54" w:rsidRDefault="006B25F4" w:rsidP="000D5F00">
            <w:pPr>
              <w:pStyle w:val="ConsPlusCell"/>
              <w:jc w:val="both"/>
              <w:rPr>
                <w:lang w:eastAsia="en-US"/>
              </w:rPr>
            </w:pPr>
            <w:r w:rsidRPr="00B24A54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2552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68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25" w:type="dxa"/>
          </w:tcPr>
          <w:p w:rsidR="006B25F4" w:rsidRPr="00B24A54" w:rsidRDefault="006B25F4" w:rsidP="000D5F00">
            <w:pPr>
              <w:pStyle w:val="ConsPlusCell"/>
              <w:jc w:val="center"/>
              <w:rPr>
                <w:lang w:eastAsia="en-US"/>
              </w:rPr>
            </w:pPr>
          </w:p>
        </w:tc>
      </w:tr>
    </w:tbl>
    <w:p w:rsidR="006B25F4" w:rsidRPr="00B65862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624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25F4" w:rsidRPr="00D6404C" w:rsidRDefault="006B25F4" w:rsidP="00D640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404C">
        <w:rPr>
          <w:rFonts w:ascii="Times New Roman" w:hAnsi="Times New Roman" w:cs="Times New Roman"/>
          <w:sz w:val="24"/>
          <w:szCs w:val="24"/>
        </w:rPr>
        <w:t>риложение 2</w:t>
      </w:r>
    </w:p>
    <w:p w:rsidR="006B25F4" w:rsidRPr="00D6404C" w:rsidRDefault="006B25F4" w:rsidP="00D640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F4" w:rsidRPr="00D6404C" w:rsidRDefault="006B25F4" w:rsidP="00D640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5F4" w:rsidRPr="00D6404C" w:rsidRDefault="006B25F4" w:rsidP="00D64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6B25F4" w:rsidRPr="00D6404C" w:rsidRDefault="006B25F4" w:rsidP="00D640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 xml:space="preserve">оценки эффективности муниципальных программ 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Пфit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Рit = ------,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Ппit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где: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Рit - результативность достижения i-го показателя, характеризующего ход реализации Программы, в год t;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Пфit - фактическое значение i-го показателя, характеризующего реализацию Программы, в год t;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Ппit - плановое значение i-го показателя, характеризующего реализацию Программы, в год t;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i - номер показателя Программы.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6. Интегральная оценка результативности Программы в год t определяется по следующей формуле: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D6404C">
        <w:rPr>
          <w:rFonts w:ascii="Times New Roman" w:hAnsi="Times New Roman" w:cs="Times New Roman"/>
          <w:sz w:val="24"/>
          <w:szCs w:val="24"/>
        </w:rPr>
        <w:t>Р</w:t>
      </w:r>
      <w:r w:rsidRPr="00D6404C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1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  <w:lang w:val="en-US"/>
        </w:rPr>
        <w:t>Ht = ------- x 100,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m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где: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Ht - интегральная оценка результативности Программы в год t (в процентах);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 xml:space="preserve">Рit - индекс результативности по i-му показателю </w:t>
      </w:r>
      <w:hyperlink r:id="rId9" w:history="1">
        <w:r w:rsidRPr="00D6404C">
          <w:rPr>
            <w:rStyle w:val="Hyperlink"/>
            <w:rFonts w:ascii="Times New Roman" w:hAnsi="Times New Roman" w:cs="Times New Roman"/>
            <w:sz w:val="24"/>
            <w:szCs w:val="24"/>
          </w:rPr>
          <w:t>&lt;1&gt;</w:t>
        </w:r>
      </w:hyperlink>
      <w:r w:rsidRPr="00D6404C">
        <w:rPr>
          <w:rFonts w:ascii="Times New Roman" w:hAnsi="Times New Roman" w:cs="Times New Roman"/>
          <w:sz w:val="24"/>
          <w:szCs w:val="24"/>
        </w:rPr>
        <w:t xml:space="preserve"> в год t;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m - количество показателей Программы.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&lt;1&gt; Все целевые и объемные показатели Программы являются равнозначными.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  <w:lang w:val="en-US"/>
        </w:rPr>
        <w:t>Ht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</w:rPr>
        <w:t>Э</w:t>
      </w:r>
      <w:r w:rsidRPr="00D6404C">
        <w:rPr>
          <w:rFonts w:ascii="Times New Roman" w:hAnsi="Times New Roman" w:cs="Times New Roman"/>
          <w:sz w:val="24"/>
          <w:szCs w:val="24"/>
          <w:lang w:val="en-US"/>
        </w:rPr>
        <w:t>t = ---- x 100,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St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404C">
        <w:rPr>
          <w:rFonts w:ascii="Times New Roman" w:hAnsi="Times New Roman" w:cs="Times New Roman"/>
          <w:sz w:val="24"/>
          <w:szCs w:val="24"/>
        </w:rPr>
        <w:t>где</w:t>
      </w:r>
      <w:r w:rsidRPr="00D640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Эt - эффективность Программы в год t;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Ht - интегральная оценка результативности Программы в год t.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значение показателя (Эt) менее 50% - Программа реализуется неэффективно.</w:t>
      </w:r>
    </w:p>
    <w:p w:rsidR="006B25F4" w:rsidRPr="00D6404C" w:rsidRDefault="006B25F4" w:rsidP="00D6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04C">
        <w:rPr>
          <w:rFonts w:ascii="Times New Roman" w:hAnsi="Times New Roman" w:cs="Times New Roman"/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6B25F4" w:rsidRPr="00D6404C" w:rsidRDefault="006B25F4" w:rsidP="00D6404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5F4" w:rsidRPr="00D6404C" w:rsidRDefault="006B25F4" w:rsidP="00D6404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5F4" w:rsidRDefault="006B25F4" w:rsidP="00C33A66">
      <w:pPr>
        <w:pStyle w:val="NoSpacing"/>
        <w:rPr>
          <w:rFonts w:ascii="Times New Roman" w:hAnsi="Times New Roman" w:cs="Times New Roman"/>
          <w:color w:val="000000"/>
          <w:spacing w:val="2"/>
        </w:rPr>
      </w:pPr>
    </w:p>
    <w:sectPr w:rsidR="006B25F4" w:rsidSect="00941A71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F4" w:rsidRDefault="006B25F4" w:rsidP="005E6A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B25F4" w:rsidRDefault="006B25F4" w:rsidP="005E6A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F4" w:rsidRDefault="006B25F4" w:rsidP="005E6A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B25F4" w:rsidRDefault="006B25F4" w:rsidP="005E6A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F761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0EE1"/>
    <w:multiLevelType w:val="multilevel"/>
    <w:tmpl w:val="FA34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" w:hanging="1800"/>
      </w:pPr>
      <w:rPr>
        <w:rFonts w:hint="default"/>
      </w:rPr>
    </w:lvl>
  </w:abstractNum>
  <w:abstractNum w:abstractNumId="6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419F"/>
    <w:multiLevelType w:val="hybridMultilevel"/>
    <w:tmpl w:val="AB7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32826B9"/>
    <w:multiLevelType w:val="hybridMultilevel"/>
    <w:tmpl w:val="21808ACA"/>
    <w:lvl w:ilvl="0" w:tplc="761EC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B6639E1"/>
    <w:multiLevelType w:val="hybridMultilevel"/>
    <w:tmpl w:val="FCE0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0EB"/>
    <w:rsid w:val="000213D7"/>
    <w:rsid w:val="00025A4A"/>
    <w:rsid w:val="00043079"/>
    <w:rsid w:val="00050C4E"/>
    <w:rsid w:val="000574F8"/>
    <w:rsid w:val="00074494"/>
    <w:rsid w:val="000D5F00"/>
    <w:rsid w:val="00100764"/>
    <w:rsid w:val="001010F1"/>
    <w:rsid w:val="001059F1"/>
    <w:rsid w:val="0010643F"/>
    <w:rsid w:val="00131A78"/>
    <w:rsid w:val="00133FD8"/>
    <w:rsid w:val="00143471"/>
    <w:rsid w:val="00145A1B"/>
    <w:rsid w:val="00150A56"/>
    <w:rsid w:val="00155912"/>
    <w:rsid w:val="00160C6F"/>
    <w:rsid w:val="00161CBA"/>
    <w:rsid w:val="001631FE"/>
    <w:rsid w:val="00165C38"/>
    <w:rsid w:val="0018719E"/>
    <w:rsid w:val="0019433F"/>
    <w:rsid w:val="001952C5"/>
    <w:rsid w:val="001D2FAB"/>
    <w:rsid w:val="002051B8"/>
    <w:rsid w:val="00211606"/>
    <w:rsid w:val="0023609B"/>
    <w:rsid w:val="00240118"/>
    <w:rsid w:val="00241D20"/>
    <w:rsid w:val="00252BE0"/>
    <w:rsid w:val="00267C9D"/>
    <w:rsid w:val="0027138E"/>
    <w:rsid w:val="002811F8"/>
    <w:rsid w:val="002D6413"/>
    <w:rsid w:val="0030105F"/>
    <w:rsid w:val="003206A5"/>
    <w:rsid w:val="00332202"/>
    <w:rsid w:val="003575D3"/>
    <w:rsid w:val="00371CB7"/>
    <w:rsid w:val="003769D5"/>
    <w:rsid w:val="00391949"/>
    <w:rsid w:val="00395D38"/>
    <w:rsid w:val="00396362"/>
    <w:rsid w:val="003A6BE0"/>
    <w:rsid w:val="003E6A93"/>
    <w:rsid w:val="003E7423"/>
    <w:rsid w:val="00413986"/>
    <w:rsid w:val="004235EE"/>
    <w:rsid w:val="004246F9"/>
    <w:rsid w:val="0047326C"/>
    <w:rsid w:val="00477196"/>
    <w:rsid w:val="00494B10"/>
    <w:rsid w:val="00496FBB"/>
    <w:rsid w:val="004A6754"/>
    <w:rsid w:val="004B700A"/>
    <w:rsid w:val="004B7EA3"/>
    <w:rsid w:val="004C1D4E"/>
    <w:rsid w:val="004C32E4"/>
    <w:rsid w:val="004E0CE1"/>
    <w:rsid w:val="004E2440"/>
    <w:rsid w:val="004E41E7"/>
    <w:rsid w:val="004E7C28"/>
    <w:rsid w:val="00503BC3"/>
    <w:rsid w:val="005130A9"/>
    <w:rsid w:val="00517F83"/>
    <w:rsid w:val="00526F4D"/>
    <w:rsid w:val="00543108"/>
    <w:rsid w:val="00546856"/>
    <w:rsid w:val="0054687E"/>
    <w:rsid w:val="00563AAF"/>
    <w:rsid w:val="0057177A"/>
    <w:rsid w:val="00571F6A"/>
    <w:rsid w:val="00594570"/>
    <w:rsid w:val="005A0293"/>
    <w:rsid w:val="005B06BC"/>
    <w:rsid w:val="005C7B95"/>
    <w:rsid w:val="005D212B"/>
    <w:rsid w:val="005D6BB6"/>
    <w:rsid w:val="005E6A8E"/>
    <w:rsid w:val="005F4382"/>
    <w:rsid w:val="005F76A7"/>
    <w:rsid w:val="00602F8E"/>
    <w:rsid w:val="00606265"/>
    <w:rsid w:val="00613B27"/>
    <w:rsid w:val="006212E7"/>
    <w:rsid w:val="00624443"/>
    <w:rsid w:val="00624866"/>
    <w:rsid w:val="006419D9"/>
    <w:rsid w:val="00652AB5"/>
    <w:rsid w:val="00652ABF"/>
    <w:rsid w:val="00657141"/>
    <w:rsid w:val="00657577"/>
    <w:rsid w:val="006638F6"/>
    <w:rsid w:val="006644FD"/>
    <w:rsid w:val="006715C5"/>
    <w:rsid w:val="006900EE"/>
    <w:rsid w:val="006928A6"/>
    <w:rsid w:val="00696B5E"/>
    <w:rsid w:val="006A4ED5"/>
    <w:rsid w:val="006B25F4"/>
    <w:rsid w:val="006C142E"/>
    <w:rsid w:val="006C528F"/>
    <w:rsid w:val="006D5BEF"/>
    <w:rsid w:val="007267A7"/>
    <w:rsid w:val="00730E08"/>
    <w:rsid w:val="00734A47"/>
    <w:rsid w:val="00751BA6"/>
    <w:rsid w:val="00753EBA"/>
    <w:rsid w:val="00757D07"/>
    <w:rsid w:val="0077148B"/>
    <w:rsid w:val="007B135E"/>
    <w:rsid w:val="007C53C1"/>
    <w:rsid w:val="007E2A49"/>
    <w:rsid w:val="007E7558"/>
    <w:rsid w:val="007F5DD1"/>
    <w:rsid w:val="00805508"/>
    <w:rsid w:val="00805F33"/>
    <w:rsid w:val="00811D84"/>
    <w:rsid w:val="00824915"/>
    <w:rsid w:val="0082722D"/>
    <w:rsid w:val="008528F7"/>
    <w:rsid w:val="008535C4"/>
    <w:rsid w:val="00854B7B"/>
    <w:rsid w:val="00867512"/>
    <w:rsid w:val="00872FF3"/>
    <w:rsid w:val="00894758"/>
    <w:rsid w:val="008B1619"/>
    <w:rsid w:val="008B3EF2"/>
    <w:rsid w:val="008B7B67"/>
    <w:rsid w:val="008F1465"/>
    <w:rsid w:val="009039BF"/>
    <w:rsid w:val="009109A0"/>
    <w:rsid w:val="00920FAA"/>
    <w:rsid w:val="0092368A"/>
    <w:rsid w:val="00925522"/>
    <w:rsid w:val="00927FAF"/>
    <w:rsid w:val="0093135B"/>
    <w:rsid w:val="009317A2"/>
    <w:rsid w:val="00941A71"/>
    <w:rsid w:val="00942F10"/>
    <w:rsid w:val="00975C9B"/>
    <w:rsid w:val="00976978"/>
    <w:rsid w:val="009A3E3E"/>
    <w:rsid w:val="009B3611"/>
    <w:rsid w:val="009B4066"/>
    <w:rsid w:val="009D3141"/>
    <w:rsid w:val="009E54C6"/>
    <w:rsid w:val="00A0433E"/>
    <w:rsid w:val="00A04BC0"/>
    <w:rsid w:val="00A20422"/>
    <w:rsid w:val="00A272D7"/>
    <w:rsid w:val="00A3375C"/>
    <w:rsid w:val="00A81BA2"/>
    <w:rsid w:val="00A83B1E"/>
    <w:rsid w:val="00A85675"/>
    <w:rsid w:val="00A97EE7"/>
    <w:rsid w:val="00AA126B"/>
    <w:rsid w:val="00AE502C"/>
    <w:rsid w:val="00B0233B"/>
    <w:rsid w:val="00B16E6B"/>
    <w:rsid w:val="00B22183"/>
    <w:rsid w:val="00B24A54"/>
    <w:rsid w:val="00B27645"/>
    <w:rsid w:val="00B3406E"/>
    <w:rsid w:val="00B37A32"/>
    <w:rsid w:val="00B65862"/>
    <w:rsid w:val="00B659AF"/>
    <w:rsid w:val="00B755D0"/>
    <w:rsid w:val="00B82B81"/>
    <w:rsid w:val="00B8309D"/>
    <w:rsid w:val="00BC31CE"/>
    <w:rsid w:val="00BE314B"/>
    <w:rsid w:val="00BF72F1"/>
    <w:rsid w:val="00C00061"/>
    <w:rsid w:val="00C33A66"/>
    <w:rsid w:val="00C52366"/>
    <w:rsid w:val="00C64E75"/>
    <w:rsid w:val="00C6580F"/>
    <w:rsid w:val="00C92527"/>
    <w:rsid w:val="00C93825"/>
    <w:rsid w:val="00CD4D15"/>
    <w:rsid w:val="00CE05F1"/>
    <w:rsid w:val="00D36897"/>
    <w:rsid w:val="00D502E6"/>
    <w:rsid w:val="00D6404C"/>
    <w:rsid w:val="00D772BA"/>
    <w:rsid w:val="00DB6E5C"/>
    <w:rsid w:val="00DD6D37"/>
    <w:rsid w:val="00E17A66"/>
    <w:rsid w:val="00E2268D"/>
    <w:rsid w:val="00E32DB0"/>
    <w:rsid w:val="00E4728F"/>
    <w:rsid w:val="00E74B3A"/>
    <w:rsid w:val="00E81426"/>
    <w:rsid w:val="00E97176"/>
    <w:rsid w:val="00EA0650"/>
    <w:rsid w:val="00EB42EC"/>
    <w:rsid w:val="00EC4AF4"/>
    <w:rsid w:val="00EC724D"/>
    <w:rsid w:val="00F019F5"/>
    <w:rsid w:val="00F12F59"/>
    <w:rsid w:val="00F40207"/>
    <w:rsid w:val="00F50AB5"/>
    <w:rsid w:val="00F5340C"/>
    <w:rsid w:val="00F560EB"/>
    <w:rsid w:val="00F61174"/>
    <w:rsid w:val="00F71625"/>
    <w:rsid w:val="00F961D8"/>
    <w:rsid w:val="00FA5E41"/>
    <w:rsid w:val="00FC25BE"/>
    <w:rsid w:val="00FC3C57"/>
    <w:rsid w:val="00FC6774"/>
    <w:rsid w:val="00FD21EB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B6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link w:val="Heading2Char"/>
    <w:uiPriority w:val="9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3A66"/>
    <w:pPr>
      <w:keepNext/>
      <w:keepLines/>
      <w:spacing w:before="200" w:after="0"/>
      <w:outlineLvl w:val="4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3A6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33A66"/>
    <w:rPr>
      <w:rFonts w:ascii="Calibri Light" w:hAnsi="Calibri Light" w:cs="Calibri Light"/>
      <w:color w:val="1F4D78"/>
      <w:lang w:eastAsia="ru-RU"/>
    </w:rPr>
  </w:style>
  <w:style w:type="paragraph" w:styleId="NoSpacing">
    <w:name w:val="No Spacing"/>
    <w:uiPriority w:val="99"/>
    <w:qFormat/>
    <w:rsid w:val="00C33A66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C33A6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33A66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3A66"/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A66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C33A6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3A66"/>
    <w:pPr>
      <w:ind w:left="720"/>
    </w:pPr>
  </w:style>
  <w:style w:type="paragraph" w:customStyle="1" w:styleId="a0">
    <w:name w:val="Нормальный (таблица)"/>
    <w:basedOn w:val="Normal"/>
    <w:next w:val="Norma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33A66"/>
    <w:pPr>
      <w:spacing w:after="120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33A66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rsid w:val="00C33A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3A66"/>
    <w:rPr>
      <w:rFonts w:ascii="Calibri" w:hAnsi="Calibri" w:cs="Calibri"/>
      <w:lang w:eastAsia="ru-RU"/>
    </w:rPr>
  </w:style>
  <w:style w:type="paragraph" w:styleId="ListBullet2">
    <w:name w:val="List Bullet 2"/>
    <w:basedOn w:val="Normal"/>
    <w:autoRedefine/>
    <w:uiPriority w:val="99"/>
    <w:semiHidden/>
    <w:rsid w:val="00C33A66"/>
    <w:pPr>
      <w:spacing w:after="0" w:line="240" w:lineRule="auto"/>
      <w:ind w:left="170" w:firstLine="6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945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B276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E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A8E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5E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A8E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ter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2297</TotalTime>
  <Pages>17</Pages>
  <Words>3457</Words>
  <Characters>19711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2021-12-30T09:03:00Z</cp:lastPrinted>
  <dcterms:created xsi:type="dcterms:W3CDTF">2016-10-21T09:22:00Z</dcterms:created>
  <dcterms:modified xsi:type="dcterms:W3CDTF">2022-12-14T14:10:00Z</dcterms:modified>
</cp:coreProperties>
</file>