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E8" w:rsidRPr="009D73E8" w:rsidRDefault="009D73E8" w:rsidP="009D73E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0"/>
          <w:szCs w:val="48"/>
        </w:rPr>
      </w:pPr>
      <w:r w:rsidRPr="009D73E8">
        <w:rPr>
          <w:rFonts w:ascii="Tms Rmn" w:hAnsi="Tms Rmn" w:cs="Tms Rmn"/>
          <w:b/>
          <w:bCs/>
          <w:color w:val="000000"/>
          <w:sz w:val="40"/>
          <w:szCs w:val="48"/>
        </w:rPr>
        <w:t>Что следует знать работодателям, заключающим договоры о передаче авторских прав</w:t>
      </w:r>
    </w:p>
    <w:p w:rsidR="009D73E8" w:rsidRDefault="009D73E8" w:rsidP="009D73E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Пенсионный фонд информирует страхователей, что на лиц, заключивших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ежемесячную отчётность по форме СЗВ-М необходимо представлять в органы Пенсионного фонда Российской Федерации только за те отчётные месяцы, в которых в отношении данных лиц страхователем было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произведено начисление страховых взносов на обязательное пенсионное страхование.</w:t>
      </w:r>
    </w:p>
    <w:p w:rsidR="009D73E8" w:rsidRDefault="009D73E8" w:rsidP="009D73E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Например, если денежное вознаграждение по договору авторского заказа, на которое начислены страховые взносы на обязательное пенсионное страхование, выплачено автору только один раз за год – в декабре 2021 года, сведения по форме СЗВ-М страхователь должен будет представить на данное застрахованное лицо только за отчётный период – декабрь 2021 года. В этом случае представлять ежемесячную отчётность за январь – ноябрь 2021 года не требуется.</w:t>
      </w:r>
    </w:p>
    <w:p w:rsidR="007F14F3" w:rsidRDefault="007F14F3"/>
    <w:sectPr w:rsidR="007F14F3" w:rsidSect="004E31C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3E8"/>
    <w:rsid w:val="007F14F3"/>
    <w:rsid w:val="009D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2</cp:revision>
  <dcterms:created xsi:type="dcterms:W3CDTF">2021-02-18T13:26:00Z</dcterms:created>
  <dcterms:modified xsi:type="dcterms:W3CDTF">2021-02-18T13:27:00Z</dcterms:modified>
</cp:coreProperties>
</file>