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ОБРАЗОВАНИЯ                                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СЕВАСТЬЯНОВСКОЕ СЕЛЬСКОЕ ПОСЕЛЕНИЕ 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 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МУНИЦИПАЛЬНЫЙ РАЙОН ЛЕНИНГРАДСКОЙ ОБЛАСТИ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5CF" w:rsidRDefault="00B4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2023 года     № 28</w:t>
      </w:r>
    </w:p>
    <w:p w:rsidR="00B405CF" w:rsidRDefault="00B405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438"/>
      </w:tblGrid>
      <w:tr w:rsidR="00B405CF" w:rsidRPr="007814CF">
        <w:trPr>
          <w:trHeight w:val="1214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5CF" w:rsidRPr="007814CF" w:rsidRDefault="00B405C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бюджетного прогноза на период 2023-2028 годов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405CF" w:rsidRDefault="00B405CF">
      <w:pPr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170.1 Бюджетного кодекса Российской Федерации и постановлением администрации от 11 мая 2021 года № 54 "Об утверждении порядка разработки и утверждения бюджетного прогноза на долгосрочный период муниципального образования Севастьяновское сельское поселение муниципального образования Приозерский муниципальный район Ленинградской области", администрация муниципального образования Севастьяновское сельское поселение ПОСТАНОВЛЯЕТ: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бюджетный прогноз на период 2023-2028 годов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обнародования, путем размещения на официальном сайте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и распространяется на правоотношения возникшие с 1 января 2023 года.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405CF" w:rsidRDefault="00B405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О.Н. Герасимчук</w:t>
      </w:r>
    </w:p>
    <w:p w:rsidR="00B405CF" w:rsidRDefault="00B405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Осипова Л.Л. тел. 88137993122</w:t>
      </w:r>
    </w:p>
    <w:p w:rsidR="00B405CF" w:rsidRDefault="00B405CF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</w:t>
      </w:r>
    </w:p>
    <w:p w:rsidR="00B405CF" w:rsidRDefault="00B405CF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B405CF" w:rsidRDefault="00B405CF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B405CF" w:rsidRDefault="00B405CF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B405CF" w:rsidRDefault="00B405C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405CF" w:rsidRDefault="00B405C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ПРОГНОЗ</w:t>
      </w:r>
    </w:p>
    <w:p w:rsidR="00B405CF" w:rsidRDefault="00B4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B405CF" w:rsidRDefault="00B4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ДО 2028 ГОДА</w:t>
      </w:r>
    </w:p>
    <w:p w:rsidR="00B405CF" w:rsidRDefault="00B4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БЮДЖЕТНЫЙ ПРОГНОЗ)</w:t>
      </w:r>
    </w:p>
    <w:p w:rsidR="00B405CF" w:rsidRDefault="00B405CF">
      <w:pPr>
        <w:spacing w:after="1"/>
        <w:rPr>
          <w:rFonts w:ascii="Arial" w:hAnsi="Arial" w:cs="Arial"/>
          <w:sz w:val="24"/>
          <w:szCs w:val="24"/>
        </w:rPr>
      </w:pPr>
    </w:p>
    <w:p w:rsidR="00B405CF" w:rsidRDefault="00B405CF">
      <w:pPr>
        <w:rPr>
          <w:rFonts w:ascii="Arial" w:hAnsi="Arial" w:cs="Arial"/>
          <w:sz w:val="24"/>
          <w:szCs w:val="24"/>
        </w:rPr>
      </w:pPr>
    </w:p>
    <w:p w:rsidR="00B405CF" w:rsidRDefault="00B405C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Условия формирования Бюджетного прогноза</w:t>
      </w:r>
    </w:p>
    <w:p w:rsidR="00B405CF" w:rsidRDefault="00B405CF">
      <w:pPr>
        <w:ind w:firstLine="851"/>
        <w:rPr>
          <w:rFonts w:ascii="Arial" w:hAnsi="Arial" w:cs="Arial"/>
          <w:sz w:val="24"/>
          <w:szCs w:val="24"/>
        </w:rPr>
      </w:pP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2020 года траектория развития экономики муниципального образования Севастьяновское сельское поселение (далее- муниципальное образование), как и в целом Ленинградской области, определяется не только экономическими, но и эпидемиологическими факторами в связи с распространением новой коронавирусной инфекции (COVID-19).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Указанные факторы сформировали новые условия осуществления хозяйственной деятельности для многих значимых отраслей экономики муниципального образования, существенно повлияли на сферу труда и занятости населения. 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 муниципальное образование адаптировалась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 отличалась, с одной стороны, консервативным подходом к планированию доходов и расходов бюджета, с другой стороны - постоянным поиском механизмов и альтернатив более эффективного использования бюджетных средств. Это позволило не допустить бесконтрольного наращивания дефицита бюджета.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складывающихся условиях основными подходами к формированию бюджетной и налоговой политики муниципального образования на долгосрочный период являются: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консервативной бюджетной политики органами местного самоуправления, одним из атрибутов которой является недопущение роста дефицита бюджета;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реализация мероприятий, направленных на повышение эффективности расходов местных бюджетов;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развитие положительных темпов экономического роста;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сокращение неэффективных налоговых расходов.</w:t>
      </w:r>
    </w:p>
    <w:p w:rsidR="00B405CF" w:rsidRDefault="00B405C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прогноз разработан на базовой основе с учетом прогноза социально-экономического развития муниципального образования на долгосрочный период.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показателей Бюджетного прогноза сопряжено с определенными рисками: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кардинальное изменение с февраля 2022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геополитических условий функционирования российской экономики, связанное, в первую очередь, с принятием </w:t>
      </w:r>
      <w:r>
        <w:rPr>
          <w:rFonts w:ascii="Times New Roman" w:hAnsi="Times New Roman" w:cs="Times New Roman"/>
          <w:sz w:val="24"/>
          <w:szCs w:val="24"/>
        </w:rPr>
        <w:t>отдельными иностранными государствами 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пакетов санкций против России;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бюджетное и налоговое законодательство Российской Федерации изменений, влияющих на доходную базу местных бюджетов;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 федеральном уровне нормативных правовых актов, приводящих к росту расходной части бюджетов субъектов Российской Федерации и местных бюджетов, в течение долгосрочного периода бюджетного планирования.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нивелирования выявленных рисков в муниципальном образовании предпринимаются меры по следующим направлениям: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благоприятного инвестиционного климата в целях обеспечения роста налогового потенциала;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предпринимательства, в том числе создание условий для роста числа организаций и индивидуальных предпринимателей, применяющих упрощенную и патентную систему налогообложения;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социальной инфраструктуры, в том числе в целях привлечения в поселение населения в трудоспособном возрасте.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B405CF" w:rsidRDefault="00B405CF">
      <w:pPr>
        <w:ind w:firstLine="851"/>
        <w:rPr>
          <w:rFonts w:ascii="Arial" w:hAnsi="Arial" w:cs="Arial"/>
          <w:sz w:val="24"/>
          <w:szCs w:val="24"/>
        </w:rPr>
      </w:pPr>
    </w:p>
    <w:p w:rsidR="00B405CF" w:rsidRDefault="00B405C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Прогноз основных характеристик </w:t>
      </w:r>
    </w:p>
    <w:p w:rsidR="00B405CF" w:rsidRDefault="00B405C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бюджета муниципального образования</w:t>
      </w:r>
    </w:p>
    <w:p w:rsidR="00B405CF" w:rsidRDefault="00B405C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до 2028 года</w:t>
      </w:r>
    </w:p>
    <w:p w:rsidR="00B405CF" w:rsidRDefault="00B405CF">
      <w:pPr>
        <w:ind w:firstLine="851"/>
        <w:rPr>
          <w:rFonts w:ascii="Arial" w:hAnsi="Arial" w:cs="Arial"/>
          <w:sz w:val="24"/>
          <w:szCs w:val="24"/>
        </w:rPr>
      </w:pP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объемов поступлений налоговых и неналоговых доходов в бюджет муниципального образования в рамках составления Бюджетного прогноза основаны на показателях долгосрочного прогноза социально-экономического развития муниципального образования на период до 2025 года, характеризующих как общие тенденции развития экономики (объем валового регионального продукта, динамика 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бюджета: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роста налога на доходы физических лиц;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роста фонда заработной платы.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муниципального образования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также налоговых ставок, льгот и преференции, установленных главой 23 Налогового кодекса Российской Федерации.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бюджета муниципального образования как в среднесрочной, так и в долгосрочной перспективе.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муниципального образования на среднесрочный период.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бюджета муниципального образования на период до 2028 года представлены в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Бюджетному прогнозу.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Структура и динамика доходной части бюджета муниципального образования за период 2023-2028 годов характеризуются следующими показателями: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45"/>
        <w:gridCol w:w="1351"/>
        <w:gridCol w:w="1343"/>
        <w:gridCol w:w="1529"/>
        <w:gridCol w:w="1506"/>
        <w:gridCol w:w="1653"/>
      </w:tblGrid>
      <w:tr w:rsidR="00B405CF" w:rsidRPr="007814C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Удельный вес в общем объеме налоговых и неналоговых доходов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Удельный вес в общем объеме налоговых и неналоговых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Default="00B4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  <w:p w:rsidR="00B405CF" w:rsidRDefault="00B4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период</w:t>
            </w:r>
          </w:p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2023-2028 годов</w:t>
            </w:r>
          </w:p>
        </w:tc>
      </w:tr>
      <w:tr w:rsidR="00B405CF" w:rsidRPr="007814C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21082,7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B405CF" w:rsidRPr="007814C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r>
              <w:rPr>
                <w:rFonts w:ascii="Times New Roman" w:hAnsi="Times New Roman" w:cs="Times New Roman"/>
              </w:rPr>
              <w:t>1. Налоговые и неналоговые 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405CF" w:rsidRPr="007814C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r>
              <w:rPr>
                <w:rFonts w:ascii="Times New Roman" w:hAnsi="Times New Roman" w:cs="Times New Roman"/>
              </w:rPr>
              <w:t>1.1. Налоговые 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B405CF" w:rsidRPr="007814C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r>
              <w:rPr>
                <w:rFonts w:ascii="Times New Roman" w:hAnsi="Times New Roman" w:cs="Times New Roman"/>
              </w:rPr>
              <w:t>1.2. Неналоговые 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B405CF" w:rsidRPr="007814CF">
        <w:trPr>
          <w:trHeight w:val="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r>
              <w:rPr>
                <w:rFonts w:ascii="Times New Roman" w:hAnsi="Times New Roman" w:cs="Times New Roman"/>
              </w:rPr>
              <w:t>2. Безвозмездные поступления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10127,4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</w:tbl>
    <w:p w:rsidR="00B405CF" w:rsidRDefault="00B405CF">
      <w:pPr>
        <w:rPr>
          <w:rFonts w:ascii="Times New Roman" w:hAnsi="Times New Roman" w:cs="Times New Roman"/>
          <w:sz w:val="28"/>
          <w:szCs w:val="28"/>
        </w:rPr>
      </w:pP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доходной части областного бюджета муниципального образования в период 2023-2028 годов основной удельный вес занимают налоговые и неналоговые доходы.</w:t>
      </w:r>
    </w:p>
    <w:p w:rsidR="00B405CF" w:rsidRDefault="00B405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безвозмездных поступлений в общем объеме доходов прогнозируется с сокращением с 48% в 2023 году до 37,9% в 2028 году.</w:t>
      </w:r>
    </w:p>
    <w:p w:rsidR="00B405CF" w:rsidRDefault="00B405CF">
      <w:p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и динамика расходной части бюджета муниципального образования   за период 2023-2028 годов характеризуются следующими показателями:</w:t>
      </w:r>
    </w:p>
    <w:p w:rsidR="00B405CF" w:rsidRDefault="00B405CF">
      <w:pPr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43"/>
        <w:gridCol w:w="1310"/>
        <w:gridCol w:w="1421"/>
        <w:gridCol w:w="1457"/>
      </w:tblGrid>
      <w:tr w:rsidR="00B405CF" w:rsidRPr="007814CF">
        <w:trPr>
          <w:trHeight w:val="102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Default="00B4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  <w:p w:rsidR="00B405CF" w:rsidRDefault="00B40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период </w:t>
            </w:r>
          </w:p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2023-2028 годов</w:t>
            </w:r>
          </w:p>
        </w:tc>
      </w:tr>
      <w:tr w:rsidR="00B405CF" w:rsidRPr="007814CF">
        <w:trPr>
          <w:trHeight w:val="12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405CF" w:rsidRPr="007814CF">
        <w:trPr>
          <w:trHeight w:val="26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22082,7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12310,6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05CF" w:rsidRPr="007814CF" w:rsidRDefault="00B405CF">
            <w:pPr>
              <w:jc w:val="center"/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</w:tbl>
    <w:p w:rsidR="00B405CF" w:rsidRDefault="00B405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долгосрочной перспективе в структуре расходов наблюдается снижение программных расходов, т.к. муниципальные программы сформированы на три года (2022-2024). 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муниципального образования за период 2023-2028 годов с учетом показателей прогноза социально-экономического развития муниципального образования. Долгосрочный прогноз расходной части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рассчитан исходя из: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 потребительских цен;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безвозмездных поступлений.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прогнозируемом периоде планируется исполнение с дефицитом не более 10%. 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муниципального образования с 2023 будут являться изменение остатков средств на счетах по учету средств бюджета.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составит в 2023-2025 годах 0,0 рублей.</w:t>
      </w:r>
    </w:p>
    <w:p w:rsidR="00B405CF" w:rsidRDefault="00B405CF">
      <w:pPr>
        <w:rPr>
          <w:rFonts w:ascii="Arial" w:hAnsi="Arial" w:cs="Arial"/>
          <w:sz w:val="24"/>
          <w:szCs w:val="24"/>
        </w:rPr>
      </w:pPr>
    </w:p>
    <w:p w:rsidR="00B405CF" w:rsidRDefault="00B4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05CF" w:rsidSect="00C81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Приложение 1 к постановлению 28/1 от   17.02.23г.     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бюджетного прогноза МО Севастьяновское сельское поселение на 2023-2028г.г.                      </w:t>
      </w: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940" w:type="dxa"/>
        <w:tblInd w:w="-13" w:type="dxa"/>
        <w:tblLook w:val="0000"/>
      </w:tblPr>
      <w:tblGrid>
        <w:gridCol w:w="3615"/>
        <w:gridCol w:w="1800"/>
        <w:gridCol w:w="1260"/>
        <w:gridCol w:w="1440"/>
        <w:gridCol w:w="1440"/>
        <w:gridCol w:w="1440"/>
        <w:gridCol w:w="1440"/>
        <w:gridCol w:w="4505"/>
      </w:tblGrid>
      <w:tr w:rsidR="00B405CF" w:rsidRPr="005057B3" w:rsidTr="005057B3">
        <w:trPr>
          <w:trHeight w:val="60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Оценка 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2023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2026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jc w:val="center"/>
              <w:rPr>
                <w:b/>
                <w:bCs/>
              </w:rPr>
            </w:pPr>
            <w:r w:rsidRPr="005057B3">
              <w:rPr>
                <w:b/>
                <w:bCs/>
              </w:rPr>
              <w:t>2027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B405CF" w:rsidRPr="005057B3" w:rsidRDefault="00B405CF" w:rsidP="005057B3">
            <w:pPr>
              <w:rPr>
                <w:b/>
                <w:bCs/>
              </w:rPr>
            </w:pPr>
            <w:r w:rsidRPr="005057B3">
              <w:rPr>
                <w:b/>
                <w:bCs/>
              </w:rPr>
              <w:t>2028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ДОХОДЫ БЮДЖЕТА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21 180,4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21 082,7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17 247,9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16 420,4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10 987,8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11 351,0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11 726,5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Налоговые и неналоговые доходы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10 705,7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10 955,3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13 153,5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12 466,0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6 875,2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7 073,9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7 278,3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Налоговые доходы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5 729,3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5 849,3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5 893,5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5 933,5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6 111,5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6 294,9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6 483,7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Неналоговые доходы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4 976,4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5 106,0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7 260,0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6 532,5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779,0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794,6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10 474,7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10 127,4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4 094,4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3 954,4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4 112,6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4 277,1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4 448,2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 xml:space="preserve">    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</w:tr>
      <w:tr w:rsidR="00B405CF" w:rsidRPr="005057B3" w:rsidTr="005057B3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10 474,7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10 127,4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4 094,4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3 954,4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4 112,6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4 277,1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4 448,2</w:t>
            </w:r>
          </w:p>
        </w:tc>
      </w:tr>
      <w:tr w:rsidR="00B405CF" w:rsidRPr="005057B3" w:rsidTr="005057B3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 xml:space="preserve">   из них,  предоставленные из бюджета другого муниципального образования,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5 931,2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6 024,0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2 972,1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3 317,5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3 450,2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Дотации,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2 881,2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2 972,1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3 317,5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3 450,2</w:t>
            </w:r>
          </w:p>
        </w:tc>
      </w:tr>
      <w:tr w:rsidR="00B405CF" w:rsidRPr="005057B3" w:rsidTr="005057B3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 xml:space="preserve">   из них,  предоставленные из бюджета другого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2 881,2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2 972,1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3 317,5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3 450,2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Субсидии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4 390,9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3 938,2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950,2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767,3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798,0</w:t>
            </w:r>
          </w:p>
        </w:tc>
      </w:tr>
      <w:tr w:rsidR="00B405CF" w:rsidRPr="005057B3" w:rsidTr="005057B3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 xml:space="preserve">   из них,  предоставленные из бюджета другого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Субвенции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165,2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177,8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184,9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192,3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200,0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</w:tr>
      <w:tr w:rsidR="00B405CF" w:rsidRPr="005057B3" w:rsidTr="005057B3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 xml:space="preserve">   из них,  предоставленные из бюджета другого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РАСХОДЫ БЮДЖЕТА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21 523,0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22 082,7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17 665,9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17 238,4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11 535,1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11 916,4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12 310,6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 xml:space="preserve">   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rPr>
                <w:color w:val="000000"/>
              </w:rPr>
            </w:pPr>
            <w:r w:rsidRPr="005057B3">
              <w:rPr>
                <w:color w:val="000000"/>
              </w:rPr>
              <w:t>X</w:t>
            </w:r>
          </w:p>
        </w:tc>
      </w:tr>
      <w:tr w:rsidR="00B405CF" w:rsidRPr="005057B3" w:rsidTr="005057B3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Расходы бюджета, осуществляемые за счет средств, предоставленных из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4 543,5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4 103,4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1 122,3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887,2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922,7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959,6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998,0</w:t>
            </w:r>
          </w:p>
        </w:tc>
      </w:tr>
      <w:tr w:rsidR="00B405CF" w:rsidRPr="005057B3" w:rsidTr="005057B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Расходы бюджета, осуществляемые за счет средств, предоставленных из бюджета другого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5 931,2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6 024,0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2 972,1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3 067,2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3 317,5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3 450,2</w:t>
            </w:r>
          </w:p>
        </w:tc>
      </w:tr>
      <w:tr w:rsidR="00B405CF" w:rsidRPr="005057B3" w:rsidTr="005057B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Расходы бюджета на предоставление межбюджетных трансфертов бюджету другого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474,3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Дефицит(-), профицит(+)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-342,6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-418,0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-818,0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-547,3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-565,4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-584,1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МУНИЦИПАЛЬНЫЙ ДОЛГ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0,0</w:t>
            </w:r>
          </w:p>
        </w:tc>
      </w:tr>
      <w:tr w:rsidR="00B405CF" w:rsidRPr="005057B3" w:rsidTr="005057B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05CF" w:rsidRPr="005057B3" w:rsidRDefault="00B405CF" w:rsidP="005057B3">
            <w:r w:rsidRPr="005057B3">
              <w:t>% дефицита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8,0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noWrap/>
            <w:vAlign w:val="bottom"/>
          </w:tcPr>
          <w:p w:rsidR="00B405CF" w:rsidRPr="005057B3" w:rsidRDefault="00B405CF" w:rsidP="005057B3">
            <w:pPr>
              <w:jc w:val="right"/>
              <w:rPr>
                <w:color w:val="000000"/>
              </w:rPr>
            </w:pPr>
            <w:r w:rsidRPr="005057B3">
              <w:rPr>
                <w:color w:val="000000"/>
              </w:rPr>
              <w:t>8,0</w:t>
            </w:r>
          </w:p>
        </w:tc>
      </w:tr>
    </w:tbl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CF" w:rsidRDefault="00B40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05CF" w:rsidSect="00575D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E9"/>
    <w:rsid w:val="000E74E9"/>
    <w:rsid w:val="003773B4"/>
    <w:rsid w:val="00446086"/>
    <w:rsid w:val="005057B3"/>
    <w:rsid w:val="00575D25"/>
    <w:rsid w:val="005F72EA"/>
    <w:rsid w:val="007814CF"/>
    <w:rsid w:val="009E45FA"/>
    <w:rsid w:val="009F0013"/>
    <w:rsid w:val="00A7335B"/>
    <w:rsid w:val="00B405CF"/>
    <w:rsid w:val="00C81CE5"/>
    <w:rsid w:val="00D37CA7"/>
    <w:rsid w:val="00D73D52"/>
    <w:rsid w:val="00D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1808</Words>
  <Characters>10312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2023-03-13T12:40:00Z</cp:lastPrinted>
  <dcterms:created xsi:type="dcterms:W3CDTF">2023-03-13T11:37:00Z</dcterms:created>
  <dcterms:modified xsi:type="dcterms:W3CDTF">2023-03-13T12:42:00Z</dcterms:modified>
</cp:coreProperties>
</file>